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38B5F8C4"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A81FB3">
        <w:rPr>
          <w:rFonts w:ascii="Times New Roman" w:hAnsi="Times New Roman" w:cs="Times New Roman"/>
        </w:rPr>
        <w:t>8</w:t>
      </w:r>
      <w:r w:rsidR="00474182">
        <w:rPr>
          <w:rFonts w:ascii="Times New Roman" w:hAnsi="Times New Roman" w:cs="Times New Roman"/>
        </w:rPr>
        <w:t>6</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266B26BA"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541D60">
        <w:rPr>
          <w:rFonts w:ascii="Times New Roman" w:hAnsi="Times New Roman" w:cs="Times New Roman"/>
          <w:b/>
          <w:bCs/>
        </w:rPr>
        <w:t>9</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w:t>
      </w:r>
      <w:bookmarkStart w:id="0" w:name="_Hlk181273259"/>
      <w:r w:rsidRPr="00A41626">
        <w:rPr>
          <w:rFonts w:ascii="Times New Roman" w:hAnsi="Times New Roman" w:cs="Times New Roman"/>
        </w:rPr>
        <w:t xml:space="preserve">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bookmarkEnd w:id="0"/>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58EA65AF"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A81FB3" w:rsidRPr="00A81FB3">
        <w:rPr>
          <w:rFonts w:ascii="Times New Roman" w:hAnsi="Times New Roman" w:cs="Times New Roman"/>
        </w:rPr>
        <w:t>DNS 2</w:t>
      </w:r>
      <w:r w:rsidR="00474182">
        <w:rPr>
          <w:rFonts w:ascii="Times New Roman" w:hAnsi="Times New Roman" w:cs="Times New Roman"/>
        </w:rPr>
        <w:t>9</w:t>
      </w:r>
      <w:r w:rsidR="00A81FB3" w:rsidRPr="00A81FB3">
        <w:rPr>
          <w:rFonts w:ascii="Times New Roman" w:hAnsi="Times New Roman" w:cs="Times New Roman"/>
        </w:rPr>
        <w:t xml:space="preserve"> </w:t>
      </w:r>
      <w:r w:rsidR="00474182">
        <w:rPr>
          <w:rFonts w:ascii="Times New Roman" w:hAnsi="Times New Roman" w:cs="Times New Roman"/>
        </w:rPr>
        <w:t>–</w:t>
      </w:r>
      <w:r w:rsidR="00A81FB3" w:rsidRPr="00A81FB3">
        <w:rPr>
          <w:rFonts w:ascii="Times New Roman" w:hAnsi="Times New Roman" w:cs="Times New Roman"/>
        </w:rPr>
        <w:t xml:space="preserve"> </w:t>
      </w:r>
      <w:r w:rsidR="00474182">
        <w:rPr>
          <w:rFonts w:ascii="Times New Roman" w:hAnsi="Times New Roman" w:cs="Times New Roman"/>
        </w:rPr>
        <w:t>obstaranie vozidiel SUV</w:t>
      </w:r>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334BD6D9" w:rsidR="001811F2" w:rsidRPr="00CC130C" w:rsidRDefault="00CA0F09" w:rsidP="00935CAB">
      <w:pPr>
        <w:spacing w:after="0" w:line="240" w:lineRule="auto"/>
        <w:rPr>
          <w:rFonts w:ascii="Times New Roman" w:hAnsi="Times New Roman" w:cs="Times New Roman"/>
          <w:bCs/>
        </w:rPr>
      </w:pPr>
      <w:hyperlink r:id="rId9" w:anchor="/tenderPublicDetails/22" w:history="1">
        <w:r w:rsidRPr="00CA0F09">
          <w:rPr>
            <w:rStyle w:val="Hypertextovprepojenie"/>
            <w:rFonts w:ascii="Times New Roman" w:hAnsi="Times New Roman" w:cs="Times New Roman"/>
          </w:rPr>
          <w:t>https://obstaravanie.eranet.sk/#/tenderPublicDetails/22</w:t>
        </w:r>
      </w:hyperlink>
      <w:r>
        <w:rPr>
          <w:rStyle w:val="Hypertextovprepojenie"/>
          <w:rFonts w:ascii="Times New Roman" w:hAnsi="Times New Roman" w:cs="Times New Roman"/>
        </w:rPr>
        <w:t>3</w:t>
      </w:r>
      <w:r w:rsidR="00474182">
        <w:rPr>
          <w:rStyle w:val="Hypertextovprepojenie"/>
          <w:rFonts w:ascii="Times New Roman" w:hAnsi="Times New Roman" w:cs="Times New Roman"/>
        </w:rPr>
        <w:t>8</w:t>
      </w:r>
      <w:r w:rsidR="00540108">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67583C2D" w:rsidR="00861963" w:rsidRPr="00540108" w:rsidRDefault="00474182" w:rsidP="00540108">
      <w:pPr>
        <w:rPr>
          <w:rFonts w:ascii="Times New Roman" w:hAnsi="Times New Roman" w:cs="Times New Roman"/>
        </w:rPr>
      </w:pPr>
      <w:r w:rsidRPr="00A81FB3">
        <w:rPr>
          <w:rFonts w:ascii="Times New Roman" w:hAnsi="Times New Roman" w:cs="Times New Roman"/>
        </w:rPr>
        <w:t>DNS 2</w:t>
      </w:r>
      <w:r>
        <w:rPr>
          <w:rFonts w:ascii="Times New Roman" w:hAnsi="Times New Roman" w:cs="Times New Roman"/>
        </w:rPr>
        <w:t>9</w:t>
      </w:r>
      <w:r w:rsidRPr="00A81FB3">
        <w:rPr>
          <w:rFonts w:ascii="Times New Roman" w:hAnsi="Times New Roman" w:cs="Times New Roman"/>
        </w:rPr>
        <w:t xml:space="preserve"> </w:t>
      </w:r>
      <w:r>
        <w:rPr>
          <w:rFonts w:ascii="Times New Roman" w:hAnsi="Times New Roman" w:cs="Times New Roman"/>
        </w:rPr>
        <w:t>–</w:t>
      </w:r>
      <w:r w:rsidRPr="00A81FB3">
        <w:rPr>
          <w:rFonts w:ascii="Times New Roman" w:hAnsi="Times New Roman" w:cs="Times New Roman"/>
        </w:rPr>
        <w:t xml:space="preserve"> </w:t>
      </w:r>
      <w:r>
        <w:rPr>
          <w:rFonts w:ascii="Times New Roman" w:hAnsi="Times New Roman" w:cs="Times New Roman"/>
        </w:rPr>
        <w:t>obstaranie vozidiel SUV</w:t>
      </w:r>
      <w:r w:rsidRPr="00540108" w:rsidDel="00474182">
        <w:rPr>
          <w:rFonts w:ascii="Times New Roman" w:hAnsi="Times New Roman" w:cs="Times New Roman"/>
        </w:rPr>
        <w:t xml:space="preserve"> </w:t>
      </w:r>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3F09757F" w:rsidR="0002417C" w:rsidRPr="00A41626" w:rsidRDefault="00A81FB3" w:rsidP="001A478D">
      <w:pPr>
        <w:pStyle w:val="Odsekzoznamu"/>
        <w:ind w:left="426" w:hanging="426"/>
        <w:rPr>
          <w:rFonts w:ascii="Times New Roman" w:hAnsi="Times New Roman" w:cs="Times New Roman"/>
          <w:bCs/>
        </w:rPr>
      </w:pPr>
      <w:r>
        <w:rPr>
          <w:rFonts w:ascii="Times New Roman" w:hAnsi="Times New Roman" w:cs="Times New Roman"/>
          <w:b/>
          <w:bCs/>
        </w:rPr>
        <w:t>1</w:t>
      </w:r>
      <w:r w:rsidR="00474182">
        <w:rPr>
          <w:rFonts w:ascii="Times New Roman" w:hAnsi="Times New Roman" w:cs="Times New Roman"/>
          <w:b/>
          <w:bCs/>
        </w:rPr>
        <w:t>39 000</w:t>
      </w:r>
      <w:r w:rsidR="00540108">
        <w:rPr>
          <w:rFonts w:ascii="Times New Roman" w:hAnsi="Times New Roman" w:cs="Times New Roman"/>
          <w:b/>
          <w:bCs/>
        </w:rPr>
        <w:t>,00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72174E86"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474182">
        <w:rPr>
          <w:rFonts w:ascii="Times New Roman" w:hAnsi="Times New Roman" w:cs="Times New Roman"/>
          <w:bCs/>
        </w:rPr>
        <w:t>8</w:t>
      </w:r>
      <w:r w:rsidR="00CA0F09">
        <w:rPr>
          <w:rFonts w:ascii="Times New Roman" w:hAnsi="Times New Roman" w:cs="Times New Roman"/>
          <w:bCs/>
        </w:rPr>
        <w:t>0</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2880812A"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BB6C71">
        <w:rPr>
          <w:rFonts w:ascii="Times New Roman" w:hAnsi="Times New Roman" w:cs="Times New Roman"/>
          <w:b/>
          <w:bCs/>
        </w:rPr>
        <w:t>18</w:t>
      </w:r>
      <w:r w:rsidR="00275201" w:rsidRPr="00487829">
        <w:rPr>
          <w:rFonts w:ascii="Times New Roman" w:hAnsi="Times New Roman" w:cs="Times New Roman"/>
          <w:b/>
          <w:bCs/>
        </w:rPr>
        <w:t>.</w:t>
      </w:r>
      <w:r w:rsidR="00173C92" w:rsidRPr="00275201">
        <w:rPr>
          <w:rFonts w:ascii="Times New Roman" w:hAnsi="Times New Roman" w:cs="Times New Roman"/>
          <w:b/>
          <w:bCs/>
        </w:rPr>
        <w:t>1</w:t>
      </w:r>
      <w:r w:rsidR="00A81FB3">
        <w:rPr>
          <w:rFonts w:ascii="Times New Roman" w:hAnsi="Times New Roman" w:cs="Times New Roman"/>
          <w:b/>
          <w:bCs/>
        </w:rPr>
        <w:t>1</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1412CC00"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474182">
        <w:rPr>
          <w:rStyle w:val="Hypertextovprepojenie"/>
          <w:rFonts w:ascii="Times New Roman" w:hAnsi="Times New Roman" w:cs="Times New Roman"/>
        </w:rPr>
        <w:t>8</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347225FD"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BB6C71">
        <w:rPr>
          <w:rFonts w:ascii="Times New Roman" w:hAnsi="Times New Roman" w:cs="Times New Roman"/>
          <w:b/>
        </w:rPr>
        <w:t>18</w:t>
      </w:r>
      <w:r w:rsidR="00173C92">
        <w:rPr>
          <w:rFonts w:ascii="Times New Roman" w:hAnsi="Times New Roman" w:cs="Times New Roman"/>
          <w:b/>
        </w:rPr>
        <w:t>.1</w:t>
      </w:r>
      <w:r w:rsidR="00A81FB3">
        <w:rPr>
          <w:rFonts w:ascii="Times New Roman" w:hAnsi="Times New Roman" w:cs="Times New Roman"/>
          <w:b/>
        </w:rPr>
        <w:t>1</w:t>
      </w:r>
      <w:r w:rsidR="00173C92">
        <w:rPr>
          <w:rFonts w:ascii="Times New Roman" w:hAnsi="Times New Roman" w:cs="Times New Roman"/>
          <w:b/>
        </w:rPr>
        <w:t>.</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4837DCF5"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474182">
        <w:rPr>
          <w:rStyle w:val="Hypertextovprepojenie"/>
          <w:rFonts w:ascii="Times New Roman" w:hAnsi="Times New Roman" w:cs="Times New Roman"/>
        </w:rPr>
        <w:t>8</w:t>
      </w:r>
      <w:r w:rsidR="000B5FBF" w:rsidRPr="004C5525">
        <w:rPr>
          <w:rFonts w:ascii="Times New Roman" w:hAnsi="Times New Roman" w:cs="Times New Roman"/>
        </w:rPr>
        <w:t xml:space="preserve"> </w:t>
      </w:r>
    </w:p>
    <w:p w14:paraId="6FEE7441" w14:textId="59B00BB8"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w:t>
        </w:r>
      </w:hyperlink>
      <w:r w:rsidR="00CA0F09">
        <w:rPr>
          <w:rStyle w:val="Hypertextovprepojenie"/>
          <w:rFonts w:ascii="Times New Roman" w:hAnsi="Times New Roman" w:cs="Times New Roman"/>
        </w:rPr>
        <w:t>3</w:t>
      </w:r>
      <w:r w:rsidR="00474182">
        <w:rPr>
          <w:rStyle w:val="Hypertextovprepojenie"/>
          <w:rFonts w:ascii="Times New Roman" w:hAnsi="Times New Roman" w:cs="Times New Roman"/>
        </w:rPr>
        <w:t>8</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5194A479"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r w:rsidR="00BB6C71">
        <w:rPr>
          <w:rFonts w:ascii="Times New Roman" w:hAnsi="Times New Roman" w:cs="Times New Roman"/>
        </w:rPr>
        <w:t>04</w:t>
      </w:r>
      <w:r w:rsidR="00544F98">
        <w:rPr>
          <w:rFonts w:ascii="Times New Roman" w:hAnsi="Times New Roman" w:cs="Times New Roman"/>
        </w:rPr>
        <w:t>.1</w:t>
      </w:r>
      <w:r w:rsidR="00BB6C71">
        <w:rPr>
          <w:rFonts w:ascii="Times New Roman" w:hAnsi="Times New Roman" w:cs="Times New Roman"/>
        </w:rPr>
        <w:t>1</w:t>
      </w:r>
      <w:r w:rsidR="00544F98">
        <w:rPr>
          <w:rFonts w:ascii="Times New Roman" w:hAnsi="Times New Roman" w:cs="Times New Roman"/>
        </w:rPr>
        <w:t>.2024</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761BA939" w:rsidR="00C56946" w:rsidRPr="00CA2EB4" w:rsidRDefault="00C56946" w:rsidP="00CA2EB4">
      <w:pPr>
        <w:pStyle w:val="Zkladntext"/>
        <w:ind w:left="4248" w:firstLine="708"/>
        <w:rPr>
          <w:sz w:val="22"/>
          <w:szCs w:val="22"/>
        </w:rPr>
      </w:pPr>
      <w:r w:rsidRPr="00CA2EB4">
        <w:rPr>
          <w:sz w:val="22"/>
          <w:szCs w:val="22"/>
        </w:rPr>
        <w:t xml:space="preserve">PhDr. </w:t>
      </w:r>
      <w:r w:rsidR="00CA0F09">
        <w:rPr>
          <w:sz w:val="22"/>
          <w:szCs w:val="22"/>
        </w:rPr>
        <w:t>Aurel Gonščák</w:t>
      </w:r>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1542305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2744DDA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17F85964"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2D89FF43"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22126E14"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3815CCB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375B149F"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3C32DB93"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061E58A5"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553B54EF"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603627F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18A92CF1"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2D2DE21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4712E0"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45ABEDA5"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6FC8BDB6"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0322E91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409BDE00" w14:textId="77777777" w:rsidR="00CA0F09" w:rsidRDefault="00CA0F09" w:rsidP="00CA0F09">
      <w:pPr>
        <w:spacing w:after="0" w:line="240" w:lineRule="auto"/>
        <w:jc w:val="both"/>
        <w:rPr>
          <w:rFonts w:ascii="Times New Roman" w:hAnsi="Times New Roman" w:cs="Times New Roman"/>
          <w:b/>
          <w:noProof/>
        </w:rPr>
      </w:pPr>
    </w:p>
    <w:p w14:paraId="2B455A2C" w14:textId="77777777" w:rsidR="00A81FB3" w:rsidRDefault="00A81FB3" w:rsidP="00CA0F09">
      <w:pPr>
        <w:spacing w:after="0" w:line="240" w:lineRule="auto"/>
        <w:jc w:val="both"/>
        <w:rPr>
          <w:rFonts w:ascii="Times New Roman" w:hAnsi="Times New Roman" w:cs="Times New Roman"/>
          <w:b/>
          <w:noProof/>
        </w:rPr>
      </w:pPr>
    </w:p>
    <w:p w14:paraId="387C4897" w14:textId="77777777" w:rsidR="00A81FB3" w:rsidRDefault="00A81FB3" w:rsidP="00CA0F09">
      <w:pPr>
        <w:spacing w:after="0" w:line="240" w:lineRule="auto"/>
        <w:jc w:val="both"/>
        <w:rPr>
          <w:rFonts w:ascii="Times New Roman" w:hAnsi="Times New Roman" w:cs="Times New Roman"/>
          <w:b/>
          <w:noProof/>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474182" w:rsidRPr="00474182" w14:paraId="040EA980" w14:textId="77777777" w:rsidTr="005616B2">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B47D1" w14:textId="77777777" w:rsidR="00474182" w:rsidRPr="00474182" w:rsidRDefault="00474182" w:rsidP="00474182">
            <w:pPr>
              <w:spacing w:after="0" w:line="240" w:lineRule="auto"/>
              <w:jc w:val="center"/>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4B7EF4E4" w14:textId="77777777" w:rsidR="00474182" w:rsidRPr="00474182" w:rsidRDefault="00474182" w:rsidP="00474182">
            <w:pPr>
              <w:spacing w:after="0" w:line="240" w:lineRule="auto"/>
              <w:jc w:val="center"/>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6085B21B" w14:textId="77777777" w:rsidR="00474182" w:rsidRPr="00474182" w:rsidRDefault="00474182" w:rsidP="00474182">
            <w:pPr>
              <w:spacing w:after="0" w:line="240" w:lineRule="auto"/>
              <w:jc w:val="center"/>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Skutočná hodnota parametra ponúkaného riešenia </w:t>
            </w:r>
            <w:r w:rsidRPr="00474182">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474182">
              <w:rPr>
                <w:rFonts w:ascii="Times New Roman" w:eastAsia="Times New Roman" w:hAnsi="Times New Roman" w:cs="Times New Roman"/>
                <w:i/>
                <w:iCs/>
                <w:color w:val="FF0000"/>
                <w:sz w:val="20"/>
                <w:szCs w:val="20"/>
                <w:lang w:eastAsia="sk-SK"/>
              </w:rPr>
              <w:t>DOPLNÍ UCHÁDZAČ</w:t>
            </w:r>
          </w:p>
        </w:tc>
      </w:tr>
      <w:tr w:rsidR="00474182" w:rsidRPr="00474182" w14:paraId="12859D87" w14:textId="77777777" w:rsidTr="005616B2">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89585C"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4D0F987D"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6A59CFCB"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r>
      <w:tr w:rsidR="00474182" w:rsidRPr="00474182" w14:paraId="2E2AE4BF"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AF90468"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Počet kusov</w:t>
            </w:r>
          </w:p>
        </w:tc>
      </w:tr>
      <w:tr w:rsidR="00474182" w:rsidRPr="00474182" w14:paraId="21B9BB0B" w14:textId="77777777" w:rsidTr="005616B2">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63A7E"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4EDC1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3</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005D98C0"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r>
      <w:tr w:rsidR="00474182" w:rsidRPr="00474182" w14:paraId="32C6C37A"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495ECD"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Farebné vyhotovenie</w:t>
            </w:r>
          </w:p>
        </w:tc>
      </w:tr>
      <w:tr w:rsidR="00474182" w:rsidRPr="00474182" w14:paraId="165651FE"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45F378"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2C99F566"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Strieborná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29680360"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7A69EE9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944821"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3B9FDF1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Látka</w:t>
            </w:r>
          </w:p>
        </w:tc>
        <w:tc>
          <w:tcPr>
            <w:tcW w:w="5426" w:type="dxa"/>
            <w:tcBorders>
              <w:top w:val="nil"/>
              <w:left w:val="nil"/>
              <w:bottom w:val="single" w:sz="4" w:space="0" w:color="auto"/>
              <w:right w:val="single" w:sz="4" w:space="0" w:color="auto"/>
            </w:tcBorders>
            <w:shd w:val="clear" w:color="auto" w:fill="auto"/>
            <w:noWrap/>
            <w:vAlign w:val="bottom"/>
            <w:hideMark/>
          </w:tcPr>
          <w:p w14:paraId="7F3DA182"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417BA1A4"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F3D693"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Karoséria</w:t>
            </w:r>
          </w:p>
        </w:tc>
      </w:tr>
      <w:tr w:rsidR="00474182" w:rsidRPr="00474182" w14:paraId="7E2E2E1F"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EF4DB0F"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5284970E"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43A3CE4D"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0815FA65"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AC4669"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Motor</w:t>
            </w:r>
          </w:p>
        </w:tc>
      </w:tr>
      <w:tr w:rsidR="00474182" w:rsidRPr="00474182" w14:paraId="62FC443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33BCC6"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31DDC7BB"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24441592"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4F6916C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2D14148"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30C21816"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nafta</w:t>
            </w:r>
          </w:p>
        </w:tc>
        <w:tc>
          <w:tcPr>
            <w:tcW w:w="5426" w:type="dxa"/>
            <w:tcBorders>
              <w:top w:val="nil"/>
              <w:left w:val="nil"/>
              <w:bottom w:val="single" w:sz="4" w:space="0" w:color="auto"/>
              <w:right w:val="single" w:sz="4" w:space="0" w:color="auto"/>
            </w:tcBorders>
            <w:shd w:val="clear" w:color="auto" w:fill="auto"/>
            <w:noWrap/>
            <w:vAlign w:val="bottom"/>
            <w:hideMark/>
          </w:tcPr>
          <w:p w14:paraId="2122CEED"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2CB6031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9C222C"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39D79CD8"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vznetový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1FA8E06A"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C4DBF0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A19F96"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1C741E9A"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2DC6BD02"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44242E87"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A57BEF"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209028E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140 kW</w:t>
            </w:r>
          </w:p>
        </w:tc>
        <w:tc>
          <w:tcPr>
            <w:tcW w:w="5426" w:type="dxa"/>
            <w:tcBorders>
              <w:top w:val="nil"/>
              <w:left w:val="nil"/>
              <w:bottom w:val="single" w:sz="4" w:space="0" w:color="auto"/>
              <w:right w:val="single" w:sz="4" w:space="0" w:color="auto"/>
            </w:tcBorders>
            <w:shd w:val="clear" w:color="auto" w:fill="auto"/>
            <w:noWrap/>
            <w:vAlign w:val="bottom"/>
            <w:hideMark/>
          </w:tcPr>
          <w:p w14:paraId="557D549F"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253454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B19D7EC"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697D3B45"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0457AB4C"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025839F5"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964169"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Jazdné vlastnosti</w:t>
            </w:r>
          </w:p>
        </w:tc>
      </w:tr>
      <w:tr w:rsidR="00474182" w:rsidRPr="00474182" w14:paraId="703A080B"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B41332"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50511891"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190 km/h</w:t>
            </w:r>
          </w:p>
        </w:tc>
        <w:tc>
          <w:tcPr>
            <w:tcW w:w="5426" w:type="dxa"/>
            <w:tcBorders>
              <w:top w:val="nil"/>
              <w:left w:val="nil"/>
              <w:bottom w:val="single" w:sz="4" w:space="0" w:color="auto"/>
              <w:right w:val="single" w:sz="4" w:space="0" w:color="auto"/>
            </w:tcBorders>
            <w:shd w:val="clear" w:color="auto" w:fill="auto"/>
            <w:noWrap/>
            <w:vAlign w:val="bottom"/>
            <w:hideMark/>
          </w:tcPr>
          <w:p w14:paraId="52285462"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07D6BF9F"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538308"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Pohon</w:t>
            </w:r>
          </w:p>
        </w:tc>
      </w:tr>
      <w:tr w:rsidR="00474182" w:rsidRPr="00474182" w14:paraId="46D71C1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81F806"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1914E00A"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50E39BA6"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D9CB243"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5DE165"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Prevodovka</w:t>
            </w:r>
          </w:p>
        </w:tc>
      </w:tr>
      <w:tr w:rsidR="00474182" w:rsidRPr="00474182" w14:paraId="2DFBE3F0"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6F94A0" w14:textId="77777777" w:rsidR="00474182" w:rsidRPr="00474182" w:rsidRDefault="00474182" w:rsidP="00474182">
            <w:pPr>
              <w:spacing w:after="0" w:line="240" w:lineRule="auto"/>
              <w:jc w:val="both"/>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36A5814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65CB798"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27AAD78C"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643DFD"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Rozmery </w:t>
            </w:r>
          </w:p>
        </w:tc>
      </w:tr>
      <w:tr w:rsidR="00474182" w:rsidRPr="00474182" w14:paraId="6C52C205"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1BD805"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273B2091"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2700 mm</w:t>
            </w:r>
          </w:p>
        </w:tc>
        <w:tc>
          <w:tcPr>
            <w:tcW w:w="5426" w:type="dxa"/>
            <w:tcBorders>
              <w:top w:val="nil"/>
              <w:left w:val="nil"/>
              <w:bottom w:val="single" w:sz="4" w:space="0" w:color="auto"/>
              <w:right w:val="single" w:sz="4" w:space="0" w:color="auto"/>
            </w:tcBorders>
            <w:shd w:val="clear" w:color="auto" w:fill="auto"/>
            <w:noWrap/>
            <w:vAlign w:val="bottom"/>
            <w:hideMark/>
          </w:tcPr>
          <w:p w14:paraId="225D31F8"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5BAFBB5C"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A2C3B"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Hmotnosti a objemy</w:t>
            </w:r>
          </w:p>
        </w:tc>
      </w:tr>
      <w:tr w:rsidR="00474182" w:rsidRPr="00474182" w14:paraId="6358F81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B38FC9"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26A00A48"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sz w:val="20"/>
                <w:szCs w:val="20"/>
                <w:lang w:eastAsia="sk-SK"/>
              </w:rPr>
              <w:t>min. 600 L</w:t>
            </w:r>
          </w:p>
        </w:tc>
        <w:tc>
          <w:tcPr>
            <w:tcW w:w="5426" w:type="dxa"/>
            <w:tcBorders>
              <w:top w:val="nil"/>
              <w:left w:val="nil"/>
              <w:bottom w:val="single" w:sz="4" w:space="0" w:color="auto"/>
              <w:right w:val="single" w:sz="4" w:space="0" w:color="auto"/>
            </w:tcBorders>
            <w:shd w:val="clear" w:color="auto" w:fill="auto"/>
            <w:noWrap/>
            <w:vAlign w:val="bottom"/>
            <w:hideMark/>
          </w:tcPr>
          <w:p w14:paraId="64B73429"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5AED25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32531C"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10AB415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sz w:val="20"/>
                <w:szCs w:val="20"/>
                <w:lang w:eastAsia="sk-SK"/>
              </w:rPr>
              <w:t>min. 55 L</w:t>
            </w:r>
          </w:p>
        </w:tc>
        <w:tc>
          <w:tcPr>
            <w:tcW w:w="5426" w:type="dxa"/>
            <w:tcBorders>
              <w:top w:val="nil"/>
              <w:left w:val="nil"/>
              <w:bottom w:val="single" w:sz="4" w:space="0" w:color="auto"/>
              <w:right w:val="single" w:sz="4" w:space="0" w:color="auto"/>
            </w:tcBorders>
            <w:shd w:val="clear" w:color="auto" w:fill="auto"/>
            <w:noWrap/>
            <w:vAlign w:val="bottom"/>
            <w:hideMark/>
          </w:tcPr>
          <w:p w14:paraId="14F5D310"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97FD8A0"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C86964"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lastRenderedPageBreak/>
              <w:t xml:space="preserve">                                                                                                                                  Záruka</w:t>
            </w:r>
          </w:p>
        </w:tc>
      </w:tr>
      <w:tr w:rsidR="00474182" w:rsidRPr="00474182" w14:paraId="231AD4B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A64DE9"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1F07D10B"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EB4DF8"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625E783D"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5E93F1" w14:textId="77777777" w:rsidR="00474182" w:rsidRPr="00474182" w:rsidRDefault="00474182" w:rsidP="00474182">
            <w:pPr>
              <w:spacing w:after="0" w:line="240" w:lineRule="auto"/>
              <w:jc w:val="center"/>
              <w:rPr>
                <w:rFonts w:ascii="Times New Roman" w:eastAsia="Times New Roman" w:hAnsi="Times New Roman" w:cs="Times New Roman"/>
                <w:b/>
                <w:bCs/>
                <w:sz w:val="20"/>
                <w:szCs w:val="20"/>
                <w:lang w:eastAsia="sk-SK"/>
              </w:rPr>
            </w:pPr>
            <w:r w:rsidRPr="00474182">
              <w:rPr>
                <w:rFonts w:ascii="Times New Roman" w:eastAsia="Times New Roman" w:hAnsi="Times New Roman" w:cs="Times New Roman"/>
                <w:b/>
                <w:bCs/>
                <w:sz w:val="20"/>
                <w:szCs w:val="20"/>
                <w:lang w:eastAsia="sk-SK"/>
              </w:rPr>
              <w:t>Minimálne (povinne požadované) vybavenie vozidla</w:t>
            </w:r>
          </w:p>
        </w:tc>
      </w:tr>
      <w:tr w:rsidR="00474182" w:rsidRPr="00474182" w14:paraId="349BD8A5"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D37A762" w14:textId="77777777" w:rsidR="00474182" w:rsidRPr="00474182" w:rsidRDefault="00474182" w:rsidP="00474182">
            <w:pPr>
              <w:spacing w:after="0" w:line="240" w:lineRule="auto"/>
              <w:rPr>
                <w:rFonts w:ascii="Times New Roman" w:eastAsia="Times New Roman" w:hAnsi="Times New Roman" w:cs="Times New Roman"/>
                <w:sz w:val="20"/>
                <w:szCs w:val="20"/>
                <w:highlight w:val="yellow"/>
                <w:lang w:eastAsia="sk-SK"/>
              </w:rPr>
            </w:pPr>
            <w:r w:rsidRPr="00474182">
              <w:rPr>
                <w:rFonts w:ascii="Times New Roman" w:eastAsia="Times New Roman" w:hAnsi="Times New Roman" w:cs="Times New Roman"/>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3B1D31AB"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A074981"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CFE319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9D2F24E" w14:textId="77777777" w:rsidR="00474182" w:rsidRPr="00474182" w:rsidRDefault="00474182" w:rsidP="00474182">
            <w:pPr>
              <w:spacing w:after="0" w:line="240" w:lineRule="auto"/>
              <w:rPr>
                <w:rFonts w:ascii="Times New Roman" w:eastAsia="Times New Roman" w:hAnsi="Times New Roman" w:cs="Times New Roman"/>
                <w:sz w:val="20"/>
                <w:szCs w:val="20"/>
                <w:highlight w:val="yellow"/>
                <w:lang w:eastAsia="sk-SK"/>
              </w:rPr>
            </w:pPr>
            <w:r w:rsidRPr="00474182">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0CA6754D"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EED214"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141132F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C05B86"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2483E0F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25A7A42"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7EEF9F20"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72DCB9F1"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Tempomat adaptívny </w:t>
            </w:r>
          </w:p>
        </w:tc>
        <w:tc>
          <w:tcPr>
            <w:tcW w:w="4803" w:type="dxa"/>
            <w:tcBorders>
              <w:top w:val="nil"/>
              <w:left w:val="nil"/>
              <w:bottom w:val="single" w:sz="4" w:space="0" w:color="auto"/>
              <w:right w:val="single" w:sz="4" w:space="0" w:color="auto"/>
            </w:tcBorders>
            <w:shd w:val="clear" w:color="auto" w:fill="auto"/>
            <w:vAlign w:val="center"/>
          </w:tcPr>
          <w:p w14:paraId="18D643B2"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EEFC1ED"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68A39E27"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49B87C8B"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3-bodové bezpečnostné pásy na všetkých sedadlách, </w:t>
            </w:r>
          </w:p>
        </w:tc>
        <w:tc>
          <w:tcPr>
            <w:tcW w:w="4803" w:type="dxa"/>
            <w:tcBorders>
              <w:top w:val="nil"/>
              <w:left w:val="nil"/>
              <w:bottom w:val="single" w:sz="4" w:space="0" w:color="auto"/>
              <w:right w:val="single" w:sz="4" w:space="0" w:color="auto"/>
            </w:tcBorders>
            <w:shd w:val="clear" w:color="auto" w:fill="auto"/>
            <w:noWrap/>
            <w:vAlign w:val="center"/>
            <w:hideMark/>
          </w:tcPr>
          <w:p w14:paraId="458ECC5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4127E1"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84B3FB7"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7F73FF1"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135CF17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FA8582A"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3F8D1BC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D81E14"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Parkovacie senzory vpredu, vzadu a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2306D3DD"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FA7CA8"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D3C8CA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6FD74C"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14A339F5"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4F31A15"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51659C9C"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ED4B51"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386F6267"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41EEC8D"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73D3981" w14:textId="77777777" w:rsidTr="005616B2">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360023"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2CB0150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A23B755"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7488274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D3ECFF"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6737B206"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EB583A5"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07493AD"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56F269"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709E5B1E"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61A77DA"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296AA9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523780"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142819AC"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6D8BBD"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7CCCB9C4"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1BA0BA"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23F1BDB0"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C06D2AC"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732AE48"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4FF97A0"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6C68C60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A826393"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2CC38C8D"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E54DC9D"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18A078C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F467356"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4836A79D"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F3BCAF"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lastRenderedPageBreak/>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759A800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2D9EEC"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A64B40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C910BE"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Min. dvojzónová automatická klimatizácia</w:t>
            </w:r>
          </w:p>
        </w:tc>
        <w:tc>
          <w:tcPr>
            <w:tcW w:w="4803" w:type="dxa"/>
            <w:tcBorders>
              <w:top w:val="nil"/>
              <w:left w:val="nil"/>
              <w:bottom w:val="single" w:sz="4" w:space="0" w:color="auto"/>
              <w:right w:val="single" w:sz="4" w:space="0" w:color="auto"/>
            </w:tcBorders>
            <w:shd w:val="clear" w:color="auto" w:fill="auto"/>
            <w:noWrap/>
            <w:hideMark/>
          </w:tcPr>
          <w:p w14:paraId="039439A5"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87422B7"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B7971B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5B3974"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0AB7C08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660D287"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508ADCD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D0B5550"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Bezkľúčové odomykanie vozidla  </w:t>
            </w:r>
          </w:p>
        </w:tc>
        <w:tc>
          <w:tcPr>
            <w:tcW w:w="4803" w:type="dxa"/>
            <w:tcBorders>
              <w:top w:val="nil"/>
              <w:left w:val="nil"/>
              <w:bottom w:val="single" w:sz="4" w:space="0" w:color="auto"/>
              <w:right w:val="single" w:sz="4" w:space="0" w:color="auto"/>
            </w:tcBorders>
            <w:shd w:val="clear" w:color="auto" w:fill="auto"/>
            <w:noWrap/>
          </w:tcPr>
          <w:p w14:paraId="46D4B8E0"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9C548E8"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4B156FE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465DBF"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78875315"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A8B3FA4"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E23AA3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72344E"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084D49D7"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81664BF"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FF84FB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469824"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Disky z ľahkých zliatin min. 17"</w:t>
            </w:r>
          </w:p>
        </w:tc>
        <w:tc>
          <w:tcPr>
            <w:tcW w:w="4803" w:type="dxa"/>
            <w:tcBorders>
              <w:top w:val="nil"/>
              <w:left w:val="nil"/>
              <w:bottom w:val="single" w:sz="4" w:space="0" w:color="auto"/>
              <w:right w:val="single" w:sz="4" w:space="0" w:color="auto"/>
            </w:tcBorders>
            <w:shd w:val="clear" w:color="auto" w:fill="auto"/>
            <w:noWrap/>
            <w:hideMark/>
          </w:tcPr>
          <w:p w14:paraId="1447567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FCD3F0B"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156A925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177E65"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1458AAC8"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9C7613"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E829690"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7BF7FB"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12E527C3"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C331391"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3DD0CAB"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2D6F9F1"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Elektricky nastaviteľné sedadlo vodiča </w:t>
            </w:r>
          </w:p>
        </w:tc>
        <w:tc>
          <w:tcPr>
            <w:tcW w:w="4803" w:type="dxa"/>
            <w:tcBorders>
              <w:top w:val="nil"/>
              <w:left w:val="nil"/>
              <w:bottom w:val="single" w:sz="4" w:space="0" w:color="auto"/>
              <w:right w:val="single" w:sz="4" w:space="0" w:color="auto"/>
            </w:tcBorders>
            <w:shd w:val="clear" w:color="auto" w:fill="auto"/>
            <w:noWrap/>
          </w:tcPr>
          <w:p w14:paraId="0C3F4E0C"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požaduje sa </w:t>
            </w:r>
          </w:p>
        </w:tc>
        <w:tc>
          <w:tcPr>
            <w:tcW w:w="5426" w:type="dxa"/>
            <w:tcBorders>
              <w:top w:val="nil"/>
              <w:left w:val="nil"/>
              <w:bottom w:val="single" w:sz="4" w:space="0" w:color="auto"/>
              <w:right w:val="single" w:sz="4" w:space="0" w:color="auto"/>
            </w:tcBorders>
            <w:shd w:val="clear" w:color="auto" w:fill="auto"/>
            <w:noWrap/>
            <w:vAlign w:val="bottom"/>
          </w:tcPr>
          <w:p w14:paraId="73A1DE60"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52597CC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3BB3CA"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776D4B02"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6E38B08"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7460FCD4"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1409EC"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Rádio s min. 10" displejom a navigačným systémom,  USB vstup, funkcia zrkadlenia smartfónu Android auto aj Apple carplay, Bluetooth pripojenie telefónu, funkcia handsfree telefonovania, anténa a repro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71CD8EB4"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5E885C6"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65AB021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7D0539E"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1E249EF4"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DF2C636"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7B6DCCE5"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C7B6180"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54585A18"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5C852874"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16B5D26B"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5A5677"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2AB3F503"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4CB4F80"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0F55F6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8562272"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Sada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7B74458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69B5AC1"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0822441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58C7BB"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48F3335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5047C53"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30A0D2DF" w14:textId="77777777" w:rsidR="00CA0F09" w:rsidRDefault="00CA0F09" w:rsidP="00CA0F09">
      <w:pPr>
        <w:spacing w:after="0" w:line="240" w:lineRule="auto"/>
        <w:ind w:left="9204" w:firstLine="708"/>
        <w:rPr>
          <w:rFonts w:ascii="Times New Roman" w:hAnsi="Times New Roman" w:cs="Times New Roman"/>
        </w:rPr>
      </w:pPr>
      <w:r>
        <w:rPr>
          <w:rFonts w:ascii="Times New Roman" w:hAnsi="Times New Roman" w:cs="Times New Roman"/>
        </w:rPr>
        <w:t>.................................................................</w:t>
      </w:r>
    </w:p>
    <w:p w14:paraId="24C68A95" w14:textId="77777777" w:rsidR="00CA0F09" w:rsidRPr="007D2A55" w:rsidRDefault="00CA0F09" w:rsidP="00CA0F09">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6FBF45BD" w14:textId="77777777" w:rsidR="00CA0F09" w:rsidRPr="007D2A55" w:rsidRDefault="00CA0F09" w:rsidP="00CA0F09">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3946738D" w14:textId="015AB0BD" w:rsidR="005904A6" w:rsidRDefault="00CA0F09" w:rsidP="00474182">
      <w:pPr>
        <w:spacing w:after="0" w:line="240" w:lineRule="auto"/>
        <w:ind w:left="9204" w:firstLine="708"/>
        <w:rPr>
          <w:rFonts w:ascii="Times New Roman" w:hAnsi="Times New Roman" w:cs="Times New Roman"/>
        </w:rPr>
      </w:pPr>
      <w:r w:rsidRPr="007D2A55">
        <w:rPr>
          <w:rFonts w:ascii="Times New Roman" w:hAnsi="Times New Roman" w:cs="Times New Roman"/>
        </w:rPr>
        <w:t>osoby oprávnenej konať za uchádzač</w:t>
      </w:r>
      <w:r w:rsidR="00474182">
        <w:rPr>
          <w:rFonts w:ascii="Times New Roman" w:hAnsi="Times New Roman" w:cs="Times New Roman"/>
          <w:b/>
          <w:noProof/>
        </w:rPr>
        <w:t>a</w:t>
      </w:r>
    </w:p>
    <w:p w14:paraId="2313133C" w14:textId="197D5C98"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540"/>
        <w:gridCol w:w="896"/>
        <w:gridCol w:w="1130"/>
        <w:gridCol w:w="1078"/>
        <w:gridCol w:w="875"/>
        <w:gridCol w:w="885"/>
        <w:gridCol w:w="1493"/>
      </w:tblGrid>
      <w:tr w:rsidR="009F10AE" w:rsidRPr="00A41626" w14:paraId="694981E0" w14:textId="77777777" w:rsidTr="00540108">
        <w:trPr>
          <w:trHeight w:val="681"/>
        </w:trPr>
        <w:tc>
          <w:tcPr>
            <w:tcW w:w="452" w:type="dxa"/>
            <w:tcBorders>
              <w:top w:val="single" w:sz="4" w:space="0" w:color="auto"/>
              <w:left w:val="single" w:sz="4" w:space="0" w:color="auto"/>
              <w:right w:val="single" w:sz="4" w:space="0" w:color="auto"/>
            </w:tcBorders>
            <w:shd w:val="clear" w:color="auto" w:fill="D9D9D9"/>
            <w:hideMark/>
          </w:tcPr>
          <w:p w14:paraId="5904559D" w14:textId="77777777" w:rsidR="009F10AE" w:rsidRPr="00B228A9" w:rsidRDefault="009F10AE" w:rsidP="00CC130C">
            <w:pPr>
              <w:tabs>
                <w:tab w:val="left" w:pos="708"/>
              </w:tabs>
              <w:autoSpaceDN w:val="0"/>
              <w:spacing w:after="0" w:line="240" w:lineRule="auto"/>
              <w:rPr>
                <w:rFonts w:ascii="Times New Roman" w:hAnsi="Times New Roman" w:cs="Times New Roman"/>
                <w:b/>
                <w:bCs/>
                <w:noProof/>
                <w:sz w:val="20"/>
                <w:szCs w:val="20"/>
              </w:rPr>
            </w:pPr>
            <w:bookmarkStart w:id="1" w:name="_Hlk177115185"/>
            <w:r w:rsidRPr="00B228A9">
              <w:rPr>
                <w:rFonts w:ascii="Times New Roman" w:hAnsi="Times New Roman" w:cs="Times New Roman"/>
                <w:b/>
                <w:bCs/>
                <w:noProof/>
                <w:sz w:val="20"/>
                <w:szCs w:val="20"/>
              </w:rPr>
              <w:t>P.č.</w:t>
            </w:r>
          </w:p>
        </w:tc>
        <w:tc>
          <w:tcPr>
            <w:tcW w:w="2540" w:type="dxa"/>
            <w:tcBorders>
              <w:top w:val="single" w:sz="4" w:space="0" w:color="auto"/>
              <w:left w:val="single" w:sz="4" w:space="0" w:color="auto"/>
              <w:right w:val="single" w:sz="4" w:space="0" w:color="auto"/>
            </w:tcBorders>
            <w:shd w:val="clear" w:color="auto" w:fill="D9D9D9"/>
            <w:hideMark/>
          </w:tcPr>
          <w:p w14:paraId="16555E33"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40B8F29"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2A8000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78" w:type="dxa"/>
            <w:tcBorders>
              <w:top w:val="single" w:sz="4" w:space="0" w:color="auto"/>
              <w:left w:val="single" w:sz="4" w:space="0" w:color="auto"/>
              <w:right w:val="single" w:sz="4" w:space="0" w:color="auto"/>
            </w:tcBorders>
            <w:shd w:val="clear" w:color="auto" w:fill="D9D9D9"/>
          </w:tcPr>
          <w:p w14:paraId="57F2BA3D" w14:textId="4C6E0157" w:rsidR="009F10AE" w:rsidRPr="00B228A9" w:rsidRDefault="009F10AE" w:rsidP="00EA036D">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875" w:type="dxa"/>
            <w:tcBorders>
              <w:top w:val="single" w:sz="4" w:space="0" w:color="auto"/>
              <w:left w:val="single" w:sz="4" w:space="0" w:color="auto"/>
              <w:right w:val="single" w:sz="4" w:space="0" w:color="auto"/>
            </w:tcBorders>
            <w:shd w:val="clear" w:color="auto" w:fill="D9D9D9"/>
          </w:tcPr>
          <w:p w14:paraId="1EEE380E" w14:textId="306619A6" w:rsidR="009F10AE" w:rsidRPr="00B228A9" w:rsidRDefault="009F10AE" w:rsidP="00EA036D">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3E93C04"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885" w:type="dxa"/>
            <w:tcBorders>
              <w:top w:val="single" w:sz="4" w:space="0" w:color="auto"/>
              <w:left w:val="single" w:sz="4" w:space="0" w:color="auto"/>
              <w:right w:val="single" w:sz="4" w:space="0" w:color="auto"/>
            </w:tcBorders>
            <w:shd w:val="clear" w:color="auto" w:fill="D9D9D9"/>
          </w:tcPr>
          <w:p w14:paraId="15B0318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493" w:type="dxa"/>
            <w:tcBorders>
              <w:top w:val="single" w:sz="4" w:space="0" w:color="auto"/>
              <w:left w:val="single" w:sz="4" w:space="0" w:color="auto"/>
              <w:right w:val="single" w:sz="4" w:space="0" w:color="auto"/>
            </w:tcBorders>
            <w:shd w:val="clear" w:color="auto" w:fill="D9D9D9"/>
          </w:tcPr>
          <w:p w14:paraId="236809B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579767D0"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hideMark/>
          </w:tcPr>
          <w:p w14:paraId="44086AC2" w14:textId="77777777" w:rsidR="009F10AE" w:rsidRPr="00A41626" w:rsidRDefault="009F10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11F45C09" w14:textId="6A941DF6"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67B8AA7" w14:textId="77777777" w:rsidR="009F10AE" w:rsidRPr="00A41626" w:rsidRDefault="009F10AE" w:rsidP="00EA036D">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2C830A27"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78" w:type="dxa"/>
            <w:tcBorders>
              <w:top w:val="single" w:sz="4" w:space="0" w:color="auto"/>
              <w:left w:val="single" w:sz="4" w:space="0" w:color="auto"/>
              <w:bottom w:val="single" w:sz="4" w:space="0" w:color="auto"/>
              <w:right w:val="single" w:sz="4" w:space="0" w:color="auto"/>
            </w:tcBorders>
          </w:tcPr>
          <w:p w14:paraId="3D451A6E" w14:textId="31532CDA" w:rsidR="009F10AE" w:rsidRDefault="0047418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3</w:t>
            </w:r>
            <w:r w:rsidR="009F10AE">
              <w:rPr>
                <w:rFonts w:ascii="Times New Roman" w:hAnsi="Times New Roman" w:cs="Times New Roman"/>
                <w:noProof/>
              </w:rPr>
              <w:t xml:space="preserve"> kus</w:t>
            </w:r>
            <w:r w:rsidR="003C5F1B">
              <w:rPr>
                <w:rFonts w:ascii="Times New Roman" w:hAnsi="Times New Roman" w:cs="Times New Roman"/>
                <w:noProof/>
              </w:rPr>
              <w:t>y</w:t>
            </w:r>
          </w:p>
        </w:tc>
        <w:tc>
          <w:tcPr>
            <w:tcW w:w="875" w:type="dxa"/>
            <w:tcBorders>
              <w:top w:val="single" w:sz="4" w:space="0" w:color="auto"/>
              <w:left w:val="single" w:sz="4" w:space="0" w:color="auto"/>
              <w:bottom w:val="single" w:sz="4" w:space="0" w:color="auto"/>
              <w:right w:val="single" w:sz="4" w:space="0" w:color="auto"/>
            </w:tcBorders>
          </w:tcPr>
          <w:p w14:paraId="5A97AFCA" w14:textId="15DF9433" w:rsidR="009F10AE" w:rsidRDefault="009F10AE">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083FCCD3"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2A17879"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0CE144E1"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tcPr>
          <w:p w14:paraId="5F875721" w14:textId="68B58186"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44" w:type="dxa"/>
            <w:gridSpan w:val="4"/>
            <w:tcBorders>
              <w:top w:val="single" w:sz="4" w:space="0" w:color="auto"/>
              <w:left w:val="single" w:sz="4" w:space="0" w:color="auto"/>
              <w:bottom w:val="single" w:sz="4" w:space="0" w:color="auto"/>
              <w:right w:val="single" w:sz="4" w:space="0" w:color="auto"/>
            </w:tcBorders>
          </w:tcPr>
          <w:p w14:paraId="2D0CF389"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875" w:type="dxa"/>
            <w:tcBorders>
              <w:top w:val="single" w:sz="4" w:space="0" w:color="auto"/>
              <w:left w:val="single" w:sz="4" w:space="0" w:color="auto"/>
              <w:bottom w:val="single" w:sz="4" w:space="0" w:color="auto"/>
              <w:right w:val="single" w:sz="4" w:space="0" w:color="auto"/>
            </w:tcBorders>
          </w:tcPr>
          <w:p w14:paraId="662686F8" w14:textId="33C52443" w:rsidR="004A51AA" w:rsidRDefault="004A51AA">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6F14CD34"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0C11406D" w14:textId="77777777" w:rsidR="004A51AA" w:rsidRDefault="004A51AA">
            <w:pPr>
              <w:tabs>
                <w:tab w:val="left" w:pos="708"/>
              </w:tabs>
              <w:autoSpaceDN w:val="0"/>
              <w:spacing w:after="0" w:line="240" w:lineRule="auto"/>
              <w:jc w:val="center"/>
              <w:rPr>
                <w:rFonts w:ascii="Times New Roman" w:hAnsi="Times New Roman" w:cs="Times New Roman"/>
                <w:noProof/>
              </w:rPr>
            </w:pPr>
          </w:p>
        </w:tc>
      </w:tr>
      <w:bookmarkEnd w:id="1"/>
    </w:tbl>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5408A5EC">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79C1134B"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A81FB3">
        <w:rPr>
          <w:rFonts w:ascii="Times New Roman" w:hAnsi="Times New Roman" w:cs="Times New Roman"/>
        </w:rPr>
        <w:t>8</w:t>
      </w:r>
      <w:r w:rsidR="00474182">
        <w:rPr>
          <w:rFonts w:ascii="Times New Roman" w:hAnsi="Times New Roman" w:cs="Times New Roman"/>
        </w:rPr>
        <w:t>6</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uzavretá podľa § 409 a nasl.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I, odd.: Sa vl.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PhDr. Aurel Gonščák</w:t>
      </w:r>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141FBF0E" w:rsidR="00935CAB" w:rsidRPr="00A4092E" w:rsidRDefault="00935CAB" w:rsidP="00A4092E">
      <w:pPr>
        <w:numPr>
          <w:ilvl w:val="0"/>
          <w:numId w:val="7"/>
        </w:numPr>
        <w:spacing w:after="0" w:line="240" w:lineRule="auto"/>
        <w:ind w:left="426" w:hanging="426"/>
        <w:jc w:val="both"/>
        <w:rPr>
          <w:rFonts w:ascii="Times New Roman" w:hAnsi="Times New Roman" w:cs="Times New Roman"/>
        </w:rPr>
      </w:pPr>
      <w:r w:rsidRPr="00BB6C71">
        <w:rPr>
          <w:rFonts w:ascii="Times New Roman" w:hAnsi="Times New Roman" w:cs="Times New Roman"/>
        </w:rPr>
        <w:t xml:space="preserve">V súvislosti s potrebami </w:t>
      </w:r>
      <w:r w:rsidR="00E91F63" w:rsidRPr="00BB6C71">
        <w:rPr>
          <w:rFonts w:ascii="Times New Roman" w:hAnsi="Times New Roman" w:cs="Times New Roman"/>
        </w:rPr>
        <w:t>K</w:t>
      </w:r>
      <w:r w:rsidRPr="00BB6C71">
        <w:rPr>
          <w:rFonts w:ascii="Times New Roman" w:hAnsi="Times New Roman" w:cs="Times New Roman"/>
        </w:rPr>
        <w:t>upujúceho sa uskutočnilo verejné obstarávanie</w:t>
      </w:r>
      <w:r w:rsidR="00B153B8" w:rsidRPr="00C97417">
        <w:rPr>
          <w:rFonts w:ascii="Times New Roman" w:hAnsi="Times New Roman" w:cs="Times New Roman"/>
        </w:rPr>
        <w:t>,</w:t>
      </w:r>
      <w:r w:rsidR="00A4092E" w:rsidRPr="00BB6C71">
        <w:rPr>
          <w:rFonts w:ascii="Times New Roman" w:hAnsi="Times New Roman" w:cs="Times New Roman"/>
        </w:rPr>
        <w:t xml:space="preserve"> </w:t>
      </w:r>
      <w:r w:rsidR="00D84A04" w:rsidRPr="00BB6C71">
        <w:rPr>
          <w:rFonts w:ascii="Times New Roman" w:hAnsi="Times New Roman" w:cs="Times New Roman"/>
        </w:rPr>
        <w:t>na základe</w:t>
      </w:r>
      <w:r w:rsidR="00A4092E" w:rsidRPr="00BB6C71">
        <w:rPr>
          <w:rFonts w:ascii="Times New Roman" w:hAnsi="Times New Roman" w:cs="Times New Roman"/>
        </w:rPr>
        <w:t xml:space="preserve"> zriadeného dynamického nákupného systému zadávaného prostredníctvom elektronického prostriedku ERANET s názvom: „DNS Nákup osobných automobilov“, ktorého oznámenie o vyhlásení verejného obstarávania bolo zverejnené v Úradnom vestníku EÚ dňa 22.10.2021 pod zn. 2021/S 206-535965 a vo Vestníku verejného obstarávania ÚVO č. 240/2021 dňa 25.10.2021 pod zn. 49040-MUT, v rámci ktorého bola vyhlásená výzva </w:t>
      </w:r>
      <w:r w:rsidR="00A949A9" w:rsidRPr="00BB6C71">
        <w:rPr>
          <w:rFonts w:ascii="Times New Roman" w:hAnsi="Times New Roman" w:cs="Times New Roman"/>
        </w:rPr>
        <w:t xml:space="preserve">na predkladanie ponúk </w:t>
      </w:r>
      <w:r w:rsidR="00B153B8" w:rsidRPr="00BB6C71">
        <w:rPr>
          <w:rFonts w:ascii="Times New Roman" w:hAnsi="Times New Roman" w:cs="Times New Roman"/>
        </w:rPr>
        <w:t xml:space="preserve">s názvom </w:t>
      </w:r>
      <w:r w:rsidR="00A4092E" w:rsidRPr="00BB6C71">
        <w:rPr>
          <w:rFonts w:ascii="Times New Roman" w:hAnsi="Times New Roman" w:cs="Times New Roman"/>
        </w:rPr>
        <w:t>„DNS 29 – obstaranie vozidiel SUV“</w:t>
      </w:r>
      <w:r w:rsidRPr="00BB6C71">
        <w:rPr>
          <w:rFonts w:ascii="Times New Roman" w:hAnsi="Times New Roman" w:cs="Times New Roman"/>
        </w:rPr>
        <w:t>,</w:t>
      </w:r>
      <w:r w:rsidRPr="00A4092E">
        <w:rPr>
          <w:rFonts w:ascii="Times New Roman" w:hAnsi="Times New Roman" w:cs="Times New Roman"/>
        </w:rPr>
        <w:t xml:space="preserve"> ktorého výsledkom je uzatvorenie tejto zmluvy na dodanie predmetu zákazky medzi verejným obstarávateľom ako kupujúcim na jednej strane a  úspešným uchádzačom ako predávajúcimi na strane druhej. </w:t>
      </w:r>
    </w:p>
    <w:p w14:paraId="5B697756" w14:textId="77777777" w:rsidR="00AC160F" w:rsidRPr="00334F5A" w:rsidRDefault="00AC160F" w:rsidP="00AC160F">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ZoRPVS,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ZoRPVS alebo nesplnenie povinnosti vykonať zápis oprávnenej osoby do registra včas v zmysle § 10 ods. 2 tretej vety ZoRPVS bude mať za následok, že kupujúci, s ktorým partner verejného sektora (predávajúci) uzavrel zmluvu, nemusí plniť svoje zmluvné povinnosti a nedostane sa týmto konaním do omeškania so splnením svojich záväzkov.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7EC826EA"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A437ED">
        <w:rPr>
          <w:rFonts w:ascii="Times New Roman" w:hAnsi="Times New Roman" w:cs="Times New Roman"/>
        </w:rPr>
        <w:t>ým</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A437ED">
        <w:rPr>
          <w:rFonts w:ascii="Times New Roman" w:hAnsi="Times New Roman" w:cs="Times New Roman"/>
        </w:rPr>
        <w:t>om</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B733643" w:rsidR="00E91F63"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r w:rsidR="00305502">
        <w:rPr>
          <w:rFonts w:ascii="Times New Roman" w:hAnsi="Times New Roman" w:cs="Times New Roman"/>
          <w:bCs/>
        </w:rPr>
        <w:t xml:space="preserve">   </w:t>
      </w:r>
    </w:p>
    <w:p w14:paraId="1FB48AB1" w14:textId="77777777" w:rsidR="00305502" w:rsidRDefault="00305502" w:rsidP="00BB6C71">
      <w:pPr>
        <w:spacing w:after="0" w:line="240" w:lineRule="auto"/>
        <w:ind w:left="426"/>
        <w:jc w:val="both"/>
        <w:rPr>
          <w:rFonts w:ascii="Times New Roman" w:hAnsi="Times New Roman" w:cs="Times New Roman"/>
          <w:bCs/>
        </w:rPr>
      </w:pPr>
    </w:p>
    <w:tbl>
      <w:tblPr>
        <w:tblW w:w="9091"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401"/>
        <w:gridCol w:w="896"/>
        <w:gridCol w:w="1130"/>
        <w:gridCol w:w="959"/>
        <w:gridCol w:w="977"/>
        <w:gridCol w:w="842"/>
        <w:gridCol w:w="1435"/>
      </w:tblGrid>
      <w:tr w:rsidR="004A51AA" w:rsidRPr="00A41626" w14:paraId="197C5AEB" w14:textId="77777777" w:rsidTr="00BB6C71">
        <w:trPr>
          <w:trHeight w:val="744"/>
        </w:trPr>
        <w:tc>
          <w:tcPr>
            <w:tcW w:w="424" w:type="dxa"/>
            <w:tcBorders>
              <w:top w:val="single" w:sz="4" w:space="0" w:color="auto"/>
              <w:left w:val="single" w:sz="4" w:space="0" w:color="auto"/>
              <w:right w:val="single" w:sz="4" w:space="0" w:color="auto"/>
            </w:tcBorders>
            <w:shd w:val="clear" w:color="auto" w:fill="D9D9D9"/>
            <w:hideMark/>
          </w:tcPr>
          <w:p w14:paraId="3E1941E0" w14:textId="4A0E1634"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448" w:type="dxa"/>
            <w:tcBorders>
              <w:top w:val="single" w:sz="4" w:space="0" w:color="auto"/>
              <w:left w:val="single" w:sz="4" w:space="0" w:color="auto"/>
              <w:right w:val="single" w:sz="4" w:space="0" w:color="auto"/>
            </w:tcBorders>
            <w:shd w:val="clear" w:color="auto" w:fill="D9D9D9"/>
            <w:hideMark/>
          </w:tcPr>
          <w:p w14:paraId="6A010165"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43" w:type="dxa"/>
            <w:tcBorders>
              <w:top w:val="single" w:sz="4" w:space="0" w:color="auto"/>
              <w:left w:val="single" w:sz="4" w:space="0" w:color="auto"/>
              <w:right w:val="single" w:sz="4" w:space="0" w:color="auto"/>
            </w:tcBorders>
            <w:shd w:val="clear" w:color="auto" w:fill="D9D9D9"/>
            <w:hideMark/>
          </w:tcPr>
          <w:p w14:paraId="439F63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063" w:type="dxa"/>
            <w:tcBorders>
              <w:top w:val="single" w:sz="4" w:space="0" w:color="auto"/>
              <w:left w:val="single" w:sz="4" w:space="0" w:color="auto"/>
              <w:right w:val="single" w:sz="4" w:space="0" w:color="auto"/>
            </w:tcBorders>
            <w:shd w:val="clear" w:color="auto" w:fill="D9D9D9"/>
          </w:tcPr>
          <w:p w14:paraId="54B5F70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982" w:type="dxa"/>
            <w:tcBorders>
              <w:top w:val="single" w:sz="4" w:space="0" w:color="auto"/>
              <w:left w:val="single" w:sz="4" w:space="0" w:color="auto"/>
              <w:right w:val="single" w:sz="4" w:space="0" w:color="auto"/>
            </w:tcBorders>
            <w:shd w:val="clear" w:color="auto" w:fill="D9D9D9"/>
          </w:tcPr>
          <w:p w14:paraId="38F2DF0C" w14:textId="05C80079" w:rsidR="009F10AE" w:rsidRPr="00B228A9" w:rsidRDefault="009F10AE" w:rsidP="007F1F6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987" w:type="dxa"/>
            <w:tcBorders>
              <w:top w:val="single" w:sz="4" w:space="0" w:color="auto"/>
              <w:left w:val="single" w:sz="4" w:space="0" w:color="auto"/>
              <w:right w:val="single" w:sz="4" w:space="0" w:color="auto"/>
            </w:tcBorders>
            <w:shd w:val="clear" w:color="auto" w:fill="D9D9D9"/>
          </w:tcPr>
          <w:p w14:paraId="63D1DA39" w14:textId="7208069E" w:rsidR="009F10AE" w:rsidRPr="00B228A9" w:rsidRDefault="009F10AE"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863" w:type="dxa"/>
            <w:tcBorders>
              <w:top w:val="single" w:sz="4" w:space="0" w:color="auto"/>
              <w:left w:val="single" w:sz="4" w:space="0" w:color="auto"/>
              <w:right w:val="single" w:sz="4" w:space="0" w:color="auto"/>
            </w:tcBorders>
            <w:shd w:val="clear" w:color="auto" w:fill="D9D9D9"/>
          </w:tcPr>
          <w:p w14:paraId="12612B71"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480" w:type="dxa"/>
            <w:tcBorders>
              <w:top w:val="single" w:sz="4" w:space="0" w:color="auto"/>
              <w:left w:val="single" w:sz="4" w:space="0" w:color="auto"/>
              <w:right w:val="single" w:sz="4" w:space="0" w:color="auto"/>
            </w:tcBorders>
            <w:shd w:val="clear" w:color="auto" w:fill="D9D9D9"/>
          </w:tcPr>
          <w:p w14:paraId="34CC379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20A1203D" w14:textId="77777777" w:rsidTr="00BB6C71">
        <w:trPr>
          <w:trHeight w:val="24"/>
        </w:trPr>
        <w:tc>
          <w:tcPr>
            <w:tcW w:w="424" w:type="dxa"/>
            <w:tcBorders>
              <w:top w:val="single" w:sz="4" w:space="0" w:color="auto"/>
              <w:left w:val="single" w:sz="4" w:space="0" w:color="auto"/>
              <w:bottom w:val="single" w:sz="4" w:space="0" w:color="auto"/>
              <w:right w:val="single" w:sz="4" w:space="0" w:color="auto"/>
            </w:tcBorders>
            <w:hideMark/>
          </w:tcPr>
          <w:p w14:paraId="52B8A769" w14:textId="77777777" w:rsidR="009F10AE" w:rsidRPr="00A41626" w:rsidRDefault="009F10AE"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448" w:type="dxa"/>
            <w:tcBorders>
              <w:top w:val="single" w:sz="4" w:space="0" w:color="auto"/>
              <w:left w:val="single" w:sz="4" w:space="0" w:color="auto"/>
              <w:bottom w:val="single" w:sz="4" w:space="0" w:color="auto"/>
              <w:right w:val="single" w:sz="4" w:space="0" w:color="auto"/>
            </w:tcBorders>
            <w:hideMark/>
          </w:tcPr>
          <w:p w14:paraId="10FB5046" w14:textId="1AFD5F29"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sidR="003F130D">
              <w:rPr>
                <w:rFonts w:ascii="Times New Roman" w:hAnsi="Times New Roman" w:cs="Times New Roman"/>
                <w:iCs/>
              </w:rPr>
              <w:t>é</w:t>
            </w:r>
            <w:r w:rsidRPr="003053FF">
              <w:rPr>
                <w:rFonts w:ascii="Times New Roman" w:hAnsi="Times New Roman" w:cs="Times New Roman"/>
                <w:iCs/>
              </w:rPr>
              <w:t xml:space="preserve"> automobil</w:t>
            </w:r>
            <w:r w:rsidR="003F130D">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43" w:type="dxa"/>
            <w:tcBorders>
              <w:top w:val="single" w:sz="4" w:space="0" w:color="auto"/>
              <w:left w:val="single" w:sz="4" w:space="0" w:color="auto"/>
              <w:bottom w:val="single" w:sz="4" w:space="0" w:color="auto"/>
              <w:right w:val="single" w:sz="4" w:space="0" w:color="auto"/>
            </w:tcBorders>
          </w:tcPr>
          <w:p w14:paraId="14433AD7" w14:textId="77777777" w:rsidR="009F10AE" w:rsidRPr="00A41626" w:rsidRDefault="009F10AE"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063" w:type="dxa"/>
            <w:tcBorders>
              <w:top w:val="single" w:sz="4" w:space="0" w:color="auto"/>
              <w:left w:val="single" w:sz="4" w:space="0" w:color="auto"/>
              <w:bottom w:val="single" w:sz="4" w:space="0" w:color="auto"/>
              <w:right w:val="single" w:sz="4" w:space="0" w:color="auto"/>
            </w:tcBorders>
          </w:tcPr>
          <w:p w14:paraId="7235006D"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982" w:type="dxa"/>
            <w:tcBorders>
              <w:top w:val="single" w:sz="4" w:space="0" w:color="auto"/>
              <w:left w:val="single" w:sz="4" w:space="0" w:color="auto"/>
              <w:bottom w:val="single" w:sz="4" w:space="0" w:color="auto"/>
              <w:right w:val="single" w:sz="4" w:space="0" w:color="auto"/>
            </w:tcBorders>
          </w:tcPr>
          <w:p w14:paraId="033391A2" w14:textId="44BF9C20" w:rsidR="009F10AE" w:rsidRDefault="0047418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3</w:t>
            </w:r>
            <w:r w:rsidR="009F10AE">
              <w:rPr>
                <w:rFonts w:ascii="Times New Roman" w:hAnsi="Times New Roman" w:cs="Times New Roman"/>
                <w:noProof/>
              </w:rPr>
              <w:t xml:space="preserve"> kus</w:t>
            </w:r>
            <w:r w:rsidR="007170FC">
              <w:rPr>
                <w:rFonts w:ascii="Times New Roman" w:hAnsi="Times New Roman" w:cs="Times New Roman"/>
                <w:noProof/>
              </w:rPr>
              <w:t>y</w:t>
            </w:r>
          </w:p>
        </w:tc>
        <w:tc>
          <w:tcPr>
            <w:tcW w:w="987" w:type="dxa"/>
            <w:tcBorders>
              <w:top w:val="single" w:sz="4" w:space="0" w:color="auto"/>
              <w:left w:val="single" w:sz="4" w:space="0" w:color="auto"/>
              <w:bottom w:val="single" w:sz="4" w:space="0" w:color="auto"/>
              <w:right w:val="single" w:sz="4" w:space="0" w:color="auto"/>
            </w:tcBorders>
          </w:tcPr>
          <w:p w14:paraId="765E49E2" w14:textId="5863AEBE" w:rsidR="009F10AE" w:rsidRDefault="009F10AE">
            <w:pPr>
              <w:tabs>
                <w:tab w:val="left" w:pos="708"/>
              </w:tabs>
              <w:autoSpaceDN w:val="0"/>
              <w:spacing w:after="0" w:line="240" w:lineRule="auto"/>
              <w:jc w:val="center"/>
              <w:rPr>
                <w:rFonts w:ascii="Times New Roman" w:hAnsi="Times New Roman" w:cs="Times New Roman"/>
                <w:noProof/>
              </w:rPr>
            </w:pPr>
          </w:p>
        </w:tc>
        <w:tc>
          <w:tcPr>
            <w:tcW w:w="863" w:type="dxa"/>
            <w:tcBorders>
              <w:top w:val="single" w:sz="4" w:space="0" w:color="auto"/>
              <w:left w:val="single" w:sz="4" w:space="0" w:color="auto"/>
              <w:bottom w:val="single" w:sz="4" w:space="0" w:color="auto"/>
              <w:right w:val="single" w:sz="4" w:space="0" w:color="auto"/>
            </w:tcBorders>
          </w:tcPr>
          <w:p w14:paraId="1A455FB6"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480" w:type="dxa"/>
            <w:tcBorders>
              <w:top w:val="single" w:sz="4" w:space="0" w:color="auto"/>
              <w:left w:val="single" w:sz="4" w:space="0" w:color="auto"/>
              <w:bottom w:val="single" w:sz="4" w:space="0" w:color="auto"/>
              <w:right w:val="single" w:sz="4" w:space="0" w:color="auto"/>
            </w:tcBorders>
          </w:tcPr>
          <w:p w14:paraId="72757F4A"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6703EA43" w14:textId="77777777" w:rsidTr="00BB6C71">
        <w:trPr>
          <w:trHeight w:val="24"/>
        </w:trPr>
        <w:tc>
          <w:tcPr>
            <w:tcW w:w="424" w:type="dxa"/>
            <w:tcBorders>
              <w:top w:val="single" w:sz="4" w:space="0" w:color="auto"/>
              <w:left w:val="single" w:sz="4" w:space="0" w:color="auto"/>
              <w:bottom w:val="single" w:sz="4" w:space="0" w:color="auto"/>
              <w:right w:val="single" w:sz="4" w:space="0" w:color="auto"/>
            </w:tcBorders>
          </w:tcPr>
          <w:p w14:paraId="37D88A30" w14:textId="5AD89728"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337" w:type="dxa"/>
            <w:gridSpan w:val="4"/>
            <w:tcBorders>
              <w:top w:val="single" w:sz="4" w:space="0" w:color="auto"/>
              <w:left w:val="single" w:sz="4" w:space="0" w:color="auto"/>
              <w:bottom w:val="single" w:sz="4" w:space="0" w:color="auto"/>
              <w:right w:val="single" w:sz="4" w:space="0" w:color="auto"/>
            </w:tcBorders>
          </w:tcPr>
          <w:p w14:paraId="2A6DBF6E"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987" w:type="dxa"/>
            <w:tcBorders>
              <w:top w:val="single" w:sz="4" w:space="0" w:color="auto"/>
              <w:left w:val="single" w:sz="4" w:space="0" w:color="auto"/>
              <w:bottom w:val="single" w:sz="4" w:space="0" w:color="auto"/>
              <w:right w:val="single" w:sz="4" w:space="0" w:color="auto"/>
            </w:tcBorders>
          </w:tcPr>
          <w:p w14:paraId="093A34C6" w14:textId="4113AA01" w:rsidR="004A51AA" w:rsidRDefault="004A51AA">
            <w:pPr>
              <w:tabs>
                <w:tab w:val="left" w:pos="708"/>
              </w:tabs>
              <w:autoSpaceDN w:val="0"/>
              <w:spacing w:after="0" w:line="240" w:lineRule="auto"/>
              <w:jc w:val="center"/>
              <w:rPr>
                <w:rFonts w:ascii="Times New Roman" w:hAnsi="Times New Roman" w:cs="Times New Roman"/>
                <w:noProof/>
              </w:rPr>
            </w:pPr>
          </w:p>
        </w:tc>
        <w:tc>
          <w:tcPr>
            <w:tcW w:w="863" w:type="dxa"/>
            <w:tcBorders>
              <w:top w:val="single" w:sz="4" w:space="0" w:color="auto"/>
              <w:left w:val="single" w:sz="4" w:space="0" w:color="auto"/>
              <w:bottom w:val="single" w:sz="4" w:space="0" w:color="auto"/>
              <w:right w:val="single" w:sz="4" w:space="0" w:color="auto"/>
            </w:tcBorders>
          </w:tcPr>
          <w:p w14:paraId="19074189"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480" w:type="dxa"/>
            <w:tcBorders>
              <w:top w:val="single" w:sz="4" w:space="0" w:color="auto"/>
              <w:left w:val="single" w:sz="4" w:space="0" w:color="auto"/>
              <w:bottom w:val="single" w:sz="4" w:space="0" w:color="auto"/>
              <w:right w:val="single" w:sz="4" w:space="0" w:color="auto"/>
            </w:tcBorders>
          </w:tcPr>
          <w:p w14:paraId="4669E1B0"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61E79EE" w14:textId="77777777" w:rsidR="00305502" w:rsidRDefault="00305502" w:rsidP="00E91F63">
      <w:pPr>
        <w:pStyle w:val="Odsekzoznamu"/>
        <w:spacing w:after="0" w:line="240" w:lineRule="auto"/>
        <w:ind w:left="567"/>
        <w:jc w:val="both"/>
        <w:rPr>
          <w:rFonts w:ascii="Times New Roman" w:hAnsi="Times New Roman" w:cs="Times New Roman"/>
        </w:rPr>
      </w:pPr>
    </w:p>
    <w:p w14:paraId="01DD1605" w14:textId="6D9EF4B3"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lastRenderedPageBreak/>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A437ED">
        <w:rPr>
          <w:rFonts w:ascii="Times New Roman" w:hAnsi="Times New Roman" w:cs="Times New Roman"/>
        </w:rPr>
        <w:t>ov</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t.j.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2"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2"/>
    </w:p>
    <w:p w14:paraId="03471055" w14:textId="7002256D"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544F98">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Default="00935CAB" w:rsidP="005465D0">
      <w:pPr>
        <w:spacing w:after="0" w:line="240" w:lineRule="auto"/>
        <w:ind w:left="426" w:right="7" w:hanging="426"/>
        <w:jc w:val="center"/>
        <w:rPr>
          <w:rFonts w:ascii="Times New Roman" w:hAnsi="Times New Roman" w:cs="Times New Roman"/>
          <w:b/>
        </w:rPr>
      </w:pPr>
    </w:p>
    <w:p w14:paraId="49222554" w14:textId="77777777" w:rsidR="00305502" w:rsidRDefault="00305502" w:rsidP="005465D0">
      <w:pPr>
        <w:spacing w:after="0" w:line="240" w:lineRule="auto"/>
        <w:ind w:left="426" w:right="7" w:hanging="426"/>
        <w:jc w:val="center"/>
        <w:rPr>
          <w:rFonts w:ascii="Times New Roman" w:hAnsi="Times New Roman" w:cs="Times New Roman"/>
          <w:b/>
        </w:rPr>
      </w:pPr>
    </w:p>
    <w:p w14:paraId="602995D3" w14:textId="77777777" w:rsidR="00305502" w:rsidRPr="00A41626" w:rsidRDefault="00305502"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lastRenderedPageBreak/>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0734534E"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D4BBD">
        <w:rPr>
          <w:rFonts w:ascii="Times New Roman" w:hAnsi="Times New Roman" w:cs="Times New Roman"/>
        </w:rPr>
        <w:t>4</w:t>
      </w:r>
      <w:r w:rsidR="00CA0F09">
        <w:rPr>
          <w:rFonts w:ascii="Times New Roman" w:hAnsi="Times New Roman" w:cs="Times New Roman"/>
        </w:rPr>
        <w:t>0</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0628FB3"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dôvodo</w:t>
      </w:r>
      <w:r w:rsidR="00DB6817">
        <w:rPr>
          <w:rFonts w:ascii="Times New Roman" w:hAnsi="Times New Roman" w:cs="Times New Roman"/>
        </w:rPr>
        <w:t>ch</w:t>
      </w:r>
      <w:r w:rsidRPr="00A41626">
        <w:rPr>
          <w:rFonts w:ascii="Times New Roman" w:hAnsi="Times New Roman" w:cs="Times New Roman"/>
        </w:rPr>
        <w:t xml:space="preserve"> aj v nasledovných prípadoch, ktoré sa na účely tejto zmluvy považujú za podstatné porušenie zmluvy v zmysle ustanovenia § 345 Obchodného zákonníka: </w:t>
      </w:r>
    </w:p>
    <w:p w14:paraId="39AA8B10" w14:textId="3B99DE63" w:rsidR="00935CAB"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r w:rsidR="00DB6817">
        <w:rPr>
          <w:sz w:val="22"/>
          <w:szCs w:val="22"/>
        </w:rPr>
        <w:t>,</w:t>
      </w:r>
    </w:p>
    <w:p w14:paraId="18F55B6D" w14:textId="6DB68888" w:rsidR="00DB6817" w:rsidRPr="00A41626" w:rsidRDefault="00DB6817" w:rsidP="00D85D64">
      <w:pPr>
        <w:pStyle w:val="Bezriadkovania1"/>
        <w:numPr>
          <w:ilvl w:val="0"/>
          <w:numId w:val="16"/>
        </w:numPr>
        <w:spacing w:line="240" w:lineRule="auto"/>
        <w:ind w:left="851" w:hanging="425"/>
        <w:jc w:val="both"/>
        <w:rPr>
          <w:sz w:val="22"/>
          <w:szCs w:val="22"/>
        </w:rPr>
      </w:pPr>
      <w:r>
        <w:rPr>
          <w:sz w:val="22"/>
          <w:szCs w:val="22"/>
        </w:rPr>
        <w:t>ak dôjde k výmazu Predávajúceho, ako partnera verejného sektora počas trvania platnosti a účinnosti tejto zmluvy</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vadného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4F926535" w:rsidR="0093587A"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3E4170B4" w14:textId="7B9DECA1" w:rsidR="00DB6817" w:rsidRPr="00A41626" w:rsidRDefault="00DB6817" w:rsidP="00D85D64">
      <w:pPr>
        <w:spacing w:after="0" w:line="240" w:lineRule="auto"/>
        <w:ind w:left="851" w:hanging="425"/>
        <w:jc w:val="both"/>
        <w:rPr>
          <w:rFonts w:ascii="Times New Roman" w:hAnsi="Times New Roman" w:cs="Times New Roman"/>
        </w:rPr>
      </w:pPr>
      <w:r>
        <w:rPr>
          <w:rFonts w:ascii="Times New Roman" w:hAnsi="Times New Roman" w:cs="Times New Roman"/>
        </w:rPr>
        <w:t>h)</w:t>
      </w:r>
      <w:r>
        <w:rPr>
          <w:rFonts w:ascii="Times New Roman" w:hAnsi="Times New Roman" w:cs="Times New Roman"/>
        </w:rPr>
        <w:tab/>
        <w:t>je Predávajúci, ktorý je partnerom verejného sektora viac ako tridsať (30) dní v omeškaní so splnením povinnosti podľa § 10 ods. 2 zákona č. 315/2016 Z.z., ak sa uvedené uplatňuje,</w:t>
      </w:r>
    </w:p>
    <w:p w14:paraId="4DBA2BA9" w14:textId="58F8B203" w:rsidR="0093587A" w:rsidRPr="00A41626" w:rsidRDefault="00DB6817" w:rsidP="00D85D64">
      <w:pPr>
        <w:spacing w:after="0" w:line="240" w:lineRule="auto"/>
        <w:ind w:left="851" w:hanging="425"/>
        <w:jc w:val="both"/>
        <w:rPr>
          <w:rFonts w:ascii="Times New Roman" w:hAnsi="Times New Roman" w:cs="Times New Roman"/>
        </w:rPr>
      </w:pPr>
      <w:r>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0A32DB94" w:rsidR="0093587A" w:rsidRPr="00A41626" w:rsidRDefault="00DB6817" w:rsidP="00D85D64">
      <w:pPr>
        <w:spacing w:after="0" w:line="240" w:lineRule="auto"/>
        <w:ind w:left="851" w:hanging="425"/>
        <w:jc w:val="both"/>
        <w:rPr>
          <w:rFonts w:ascii="Times New Roman" w:hAnsi="Times New Roman" w:cs="Times New Roman"/>
        </w:rPr>
      </w:pPr>
      <w:r>
        <w:rPr>
          <w:rFonts w:ascii="Times New Roman" w:hAnsi="Times New Roman" w:cs="Times New Roman"/>
        </w:rPr>
        <w:t>j</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25E45EE2"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w:t>
      </w:r>
      <w:r w:rsidR="00CA0F09">
        <w:rPr>
          <w:rFonts w:ascii="Times New Roman" w:hAnsi="Times New Roman" w:cs="Times New Roman"/>
        </w:rPr>
        <w:t>štyroch</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4</w:t>
      </w:r>
      <w:r w:rsidR="002545C4" w:rsidRPr="00A41626">
        <w:rPr>
          <w:rFonts w:ascii="Times New Roman" w:hAnsi="Times New Roman" w:cs="Times New Roman"/>
        </w:rPr>
        <w:t xml:space="preserve">) </w:t>
      </w:r>
      <w:r w:rsidRPr="00A41626">
        <w:rPr>
          <w:rFonts w:ascii="Times New Roman" w:hAnsi="Times New Roman" w:cs="Times New Roman"/>
        </w:rPr>
        <w:t xml:space="preserve">vyhotoveniach s platnosťou originálu. Predávajúci obdrží </w:t>
      </w:r>
      <w:r w:rsidR="00CA0F09">
        <w:rPr>
          <w:rFonts w:ascii="Times New Roman" w:hAnsi="Times New Roman" w:cs="Times New Roman"/>
        </w:rPr>
        <w:t>dve</w:t>
      </w:r>
      <w:r w:rsidRPr="00A41626">
        <w:rPr>
          <w:rFonts w:ascii="Times New Roman" w:hAnsi="Times New Roman" w:cs="Times New Roman"/>
        </w:rPr>
        <w:t xml:space="preserve"> </w:t>
      </w:r>
      <w:r w:rsidR="002545C4" w:rsidRPr="00A41626">
        <w:rPr>
          <w:rFonts w:ascii="Times New Roman" w:hAnsi="Times New Roman" w:cs="Times New Roman"/>
        </w:rPr>
        <w:t>(</w:t>
      </w:r>
      <w:r w:rsidR="00CA0F09">
        <w:rPr>
          <w:rFonts w:ascii="Times New Roman" w:hAnsi="Times New Roman" w:cs="Times New Roman"/>
        </w:rPr>
        <w:t>2</w:t>
      </w:r>
      <w:r w:rsidR="002545C4" w:rsidRPr="00A41626">
        <w:rPr>
          <w:rFonts w:ascii="Times New Roman" w:hAnsi="Times New Roman" w:cs="Times New Roman"/>
        </w:rPr>
        <w:t xml:space="preserve">)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w:t>
      </w:r>
      <w:r w:rsidR="0008642D" w:rsidRPr="00A41626">
        <w:rPr>
          <w:rFonts w:ascii="Times New Roman" w:hAnsi="Times New Roman" w:cs="Times New Roman"/>
        </w:rPr>
        <w:lastRenderedPageBreak/>
        <w:t>v znení neskorších predpisov v spojení s ustanovením § 5a zákona č. 211/2000 Z.z.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Aurel Gonščák</w:t>
      </w:r>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2F4241F5"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 xml:space="preserve">Verejný obstarávateľ požaduje, aby súčasťou výbavy osobného automobilu bolo nasledovné: </w:t>
      </w:r>
    </w:p>
    <w:p w14:paraId="1BE9248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povinná výstroj a výbava stanovená pre daný druh vozidla (v zmysle zákona č. 106/2018 Z.z.  o prevádzke vozidiel v cestnej premávke a o zmene a doplnení niektorých zákonov v znení neskorších predpisov), </w:t>
      </w:r>
    </w:p>
    <w:p w14:paraId="5A2C192D"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autolekárnička, </w:t>
      </w:r>
    </w:p>
    <w:p w14:paraId="68CEB906"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bezpečnostný reflexný odev – vesta – 5 ks, </w:t>
      </w:r>
    </w:p>
    <w:p w14:paraId="5D9D07AD" w14:textId="77777777" w:rsidR="00474182"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prenosný výstražný trojuholník, </w:t>
      </w:r>
    </w:p>
    <w:p w14:paraId="6C3C524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Pr>
          <w:rFonts w:ascii="Times New Roman" w:hAnsi="Times New Roman" w:cs="Times New Roman"/>
          <w:noProof/>
        </w:rPr>
        <w:t xml:space="preserve">ťažné lano </w:t>
      </w:r>
    </w:p>
    <w:p w14:paraId="612D9D93" w14:textId="77777777" w:rsidR="00474182" w:rsidRPr="0096577C"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96577C">
        <w:rPr>
          <w:rFonts w:ascii="Times New Roman" w:hAnsi="Times New Roman" w:cs="Times New Roman"/>
          <w:noProof/>
        </w:rPr>
        <w:t>gumové rohože do interiéru</w:t>
      </w:r>
      <w:r w:rsidRPr="0096577C">
        <w:rPr>
          <w:rFonts w:ascii="Times New Roman" w:eastAsia="Times New Roman" w:hAnsi="Times New Roman" w:cs="Times New Roman"/>
          <w:color w:val="000000"/>
          <w:lang w:eastAsia="sk-SK"/>
        </w:rPr>
        <w:t xml:space="preserve"> a gumená alebo plastová vaňa do batožinového priestoru</w:t>
      </w:r>
    </w:p>
    <w:p w14:paraId="2E02EF5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osvedčenie o evidencii vozidla (veľký technický preukaz) </w:t>
      </w:r>
    </w:p>
    <w:p w14:paraId="41A49567"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COC dokument </w:t>
      </w:r>
    </w:p>
    <w:p w14:paraId="62045E1E"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návod na obsluhu a údržbu vozidla, vrátane dodávanej výbavy a príslušenstva, v slovenskom jazyku, </w:t>
      </w:r>
    </w:p>
    <w:p w14:paraId="5C9B8C99" w14:textId="77777777" w:rsidR="00474182" w:rsidRPr="00A41626" w:rsidRDefault="00474182" w:rsidP="00474182">
      <w:pPr>
        <w:pStyle w:val="Odsekzoznamu"/>
        <w:numPr>
          <w:ilvl w:val="2"/>
          <w:numId w:val="4"/>
        </w:numPr>
        <w:spacing w:after="0" w:line="240" w:lineRule="auto"/>
        <w:ind w:left="284" w:hanging="284"/>
        <w:contextualSpacing w:val="0"/>
        <w:jc w:val="both"/>
        <w:rPr>
          <w:rFonts w:ascii="Times New Roman" w:hAnsi="Times New Roman" w:cs="Times New Roman"/>
          <w:noProof/>
        </w:rPr>
      </w:pPr>
      <w:r w:rsidRPr="00A41626">
        <w:rPr>
          <w:rFonts w:ascii="Times New Roman" w:hAnsi="Times New Roman" w:cs="Times New Roman"/>
          <w:noProof/>
        </w:rPr>
        <w:t xml:space="preserve">servisná knižka v slovenskom jazyku alebo elektronická servisná knižka. </w:t>
      </w:r>
    </w:p>
    <w:p w14:paraId="566DB268" w14:textId="77777777" w:rsidR="00474182" w:rsidRPr="00A41626" w:rsidRDefault="00474182" w:rsidP="00474182">
      <w:pPr>
        <w:spacing w:after="0" w:line="240" w:lineRule="auto"/>
        <w:jc w:val="both"/>
        <w:rPr>
          <w:rFonts w:ascii="Times New Roman" w:hAnsi="Times New Roman" w:cs="Times New Roman"/>
          <w:noProof/>
          <w14:ligatures w14:val="standard"/>
          <w14:cntxtAlts/>
        </w:rPr>
      </w:pPr>
    </w:p>
    <w:p w14:paraId="49621E0A" w14:textId="77777777" w:rsidR="00474182" w:rsidRPr="00A41626" w:rsidRDefault="00474182" w:rsidP="00474182">
      <w:pPr>
        <w:spacing w:after="0" w:line="240" w:lineRule="auto"/>
        <w:jc w:val="both"/>
        <w:rPr>
          <w:rFonts w:ascii="Times New Roman" w:hAnsi="Times New Roman" w:cs="Times New Roman"/>
          <w:noProof/>
        </w:rPr>
      </w:pPr>
      <w:r w:rsidRPr="00A41626">
        <w:rPr>
          <w:rFonts w:ascii="Times New Roman" w:hAnsi="Times New Roman" w:cs="Times New Roman"/>
          <w:noProof/>
        </w:rPr>
        <w:t>Spoločné požiadavky verejného obstarávateľa pre všetky vozidlá:</w:t>
      </w:r>
    </w:p>
    <w:p w14:paraId="542752CD"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dodané vrátane súvisiaceho príslušenstva;</w:t>
      </w:r>
    </w:p>
    <w:p w14:paraId="03A07544"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v súlade s technickou špecifikáciou, t.j. musí obsahovať požadovaný rozsah technických parametrov a výbavy minimálne na úrovni definovanej verejným obstarávateľom, alebo vyššej;</w:t>
      </w:r>
    </w:p>
    <w:p w14:paraId="3DBF6FAB"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noProof/>
        </w:rPr>
      </w:pPr>
      <w:r w:rsidRPr="00A41626">
        <w:rPr>
          <w:rFonts w:ascii="Times New Roman" w:hAnsi="Times New Roman" w:cs="Times New Roman"/>
          <w:noProof/>
        </w:rPr>
        <w:t>vozidlo musí byť odovzdané spolu s dokladmi potrebnými na jeho riadne užívanie;</w:t>
      </w:r>
    </w:p>
    <w:p w14:paraId="742BD546" w14:textId="77777777" w:rsidR="00474182" w:rsidRPr="00A41626" w:rsidRDefault="00474182" w:rsidP="00474182">
      <w:pPr>
        <w:pStyle w:val="Odsekzoznamu"/>
        <w:numPr>
          <w:ilvl w:val="0"/>
          <w:numId w:val="5"/>
        </w:numPr>
        <w:spacing w:after="0" w:line="240" w:lineRule="auto"/>
        <w:ind w:left="284" w:hanging="284"/>
        <w:jc w:val="both"/>
        <w:rPr>
          <w:rFonts w:ascii="Times New Roman" w:hAnsi="Times New Roman" w:cs="Times New Roman"/>
          <w:b/>
          <w:noProof/>
        </w:rPr>
      </w:pPr>
      <w:r w:rsidRPr="00A41626">
        <w:rPr>
          <w:rFonts w:ascii="Times New Roman" w:hAnsi="Times New Roman" w:cs="Times New Roman"/>
          <w:b/>
          <w:noProof/>
        </w:rPr>
        <w:t>dodávateľ –  autorizovaný predajca</w:t>
      </w:r>
      <w:r>
        <w:rPr>
          <w:rFonts w:ascii="Times New Roman" w:hAnsi="Times New Roman" w:cs="Times New Roman"/>
          <w:b/>
          <w:noProof/>
        </w:rPr>
        <w:t xml:space="preserve"> ponúkaného vozidla</w:t>
      </w:r>
      <w:r w:rsidRPr="00A41626">
        <w:rPr>
          <w:rFonts w:ascii="Times New Roman" w:hAnsi="Times New Roman" w:cs="Times New Roman"/>
          <w:b/>
          <w:noProof/>
        </w:rPr>
        <w:t xml:space="preserve">/importér </w:t>
      </w:r>
    </w:p>
    <w:p w14:paraId="778F5141"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45BED92B"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474182" w:rsidRPr="00474182" w14:paraId="4CABE8A8" w14:textId="77777777" w:rsidTr="005616B2">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F120C" w14:textId="77777777" w:rsidR="00474182" w:rsidRPr="00474182" w:rsidRDefault="00474182" w:rsidP="00474182">
            <w:pPr>
              <w:spacing w:after="0" w:line="240" w:lineRule="auto"/>
              <w:jc w:val="center"/>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4FC44C4C" w14:textId="77777777" w:rsidR="00474182" w:rsidRPr="00474182" w:rsidRDefault="00474182" w:rsidP="00474182">
            <w:pPr>
              <w:spacing w:after="0" w:line="240" w:lineRule="auto"/>
              <w:jc w:val="center"/>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38AFD5DA" w14:textId="77777777" w:rsidR="00474182" w:rsidRPr="00474182" w:rsidRDefault="00474182" w:rsidP="00474182">
            <w:pPr>
              <w:spacing w:after="0" w:line="240" w:lineRule="auto"/>
              <w:jc w:val="center"/>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Skutočná hodnota parametra ponúkaného riešenia </w:t>
            </w:r>
            <w:r w:rsidRPr="00474182">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474182">
              <w:rPr>
                <w:rFonts w:ascii="Times New Roman" w:eastAsia="Times New Roman" w:hAnsi="Times New Roman" w:cs="Times New Roman"/>
                <w:i/>
                <w:iCs/>
                <w:color w:val="FF0000"/>
                <w:sz w:val="20"/>
                <w:szCs w:val="20"/>
                <w:lang w:eastAsia="sk-SK"/>
              </w:rPr>
              <w:t>DOPLNÍ UCHÁDZAČ</w:t>
            </w:r>
          </w:p>
        </w:tc>
      </w:tr>
      <w:tr w:rsidR="00474182" w:rsidRPr="00474182" w14:paraId="67D62CF5" w14:textId="77777777" w:rsidTr="005616B2">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A095469"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52F8491D"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1A19B8E0"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r>
      <w:tr w:rsidR="00474182" w:rsidRPr="00474182" w14:paraId="56071488"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E87AD11"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lastRenderedPageBreak/>
              <w:t xml:space="preserve">                                                                                                                               Počet kusov</w:t>
            </w:r>
          </w:p>
        </w:tc>
      </w:tr>
      <w:tr w:rsidR="00474182" w:rsidRPr="00474182" w14:paraId="5ADC5ABE" w14:textId="77777777" w:rsidTr="005616B2">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B7773"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2730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3</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7FD2F3B5"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p>
        </w:tc>
      </w:tr>
      <w:tr w:rsidR="00474182" w:rsidRPr="00474182" w14:paraId="47D9D80F"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920BC1"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Farebné vyhotovenie</w:t>
            </w:r>
          </w:p>
        </w:tc>
      </w:tr>
      <w:tr w:rsidR="00474182" w:rsidRPr="00474182" w14:paraId="7A12CCFE"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429557"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1467CE93"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Strieborná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6D6C9812"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1A6972C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E4F2030"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Sedadlá </w:t>
            </w:r>
          </w:p>
        </w:tc>
        <w:tc>
          <w:tcPr>
            <w:tcW w:w="4803" w:type="dxa"/>
            <w:tcBorders>
              <w:top w:val="nil"/>
              <w:left w:val="nil"/>
              <w:bottom w:val="single" w:sz="4" w:space="0" w:color="auto"/>
              <w:right w:val="single" w:sz="4" w:space="0" w:color="auto"/>
            </w:tcBorders>
            <w:shd w:val="clear" w:color="auto" w:fill="auto"/>
            <w:noWrap/>
            <w:vAlign w:val="center"/>
            <w:hideMark/>
          </w:tcPr>
          <w:p w14:paraId="7C92AB46"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Látka</w:t>
            </w:r>
          </w:p>
        </w:tc>
        <w:tc>
          <w:tcPr>
            <w:tcW w:w="5426" w:type="dxa"/>
            <w:tcBorders>
              <w:top w:val="nil"/>
              <w:left w:val="nil"/>
              <w:bottom w:val="single" w:sz="4" w:space="0" w:color="auto"/>
              <w:right w:val="single" w:sz="4" w:space="0" w:color="auto"/>
            </w:tcBorders>
            <w:shd w:val="clear" w:color="auto" w:fill="auto"/>
            <w:noWrap/>
            <w:vAlign w:val="bottom"/>
            <w:hideMark/>
          </w:tcPr>
          <w:p w14:paraId="21C19478"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67E88871"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64CBBA"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Karoséria</w:t>
            </w:r>
          </w:p>
        </w:tc>
      </w:tr>
      <w:tr w:rsidR="00474182" w:rsidRPr="00474182" w14:paraId="21A4E46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5EC74A24"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1E7420EB"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SUV</w:t>
            </w:r>
          </w:p>
        </w:tc>
        <w:tc>
          <w:tcPr>
            <w:tcW w:w="5426" w:type="dxa"/>
            <w:tcBorders>
              <w:top w:val="nil"/>
              <w:left w:val="nil"/>
              <w:bottom w:val="single" w:sz="4" w:space="0" w:color="auto"/>
              <w:right w:val="single" w:sz="4" w:space="0" w:color="auto"/>
            </w:tcBorders>
            <w:shd w:val="clear" w:color="auto" w:fill="auto"/>
            <w:noWrap/>
            <w:vAlign w:val="bottom"/>
            <w:hideMark/>
          </w:tcPr>
          <w:p w14:paraId="681FA90A"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5141BB8D"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DA7831"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Motor</w:t>
            </w:r>
          </w:p>
        </w:tc>
      </w:tr>
      <w:tr w:rsidR="00474182" w:rsidRPr="00474182" w14:paraId="778CC037"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C50290"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5E002F31"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481F65AF"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78E7E63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B6EF6B"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1E0BDC60"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nafta</w:t>
            </w:r>
          </w:p>
        </w:tc>
        <w:tc>
          <w:tcPr>
            <w:tcW w:w="5426" w:type="dxa"/>
            <w:tcBorders>
              <w:top w:val="nil"/>
              <w:left w:val="nil"/>
              <w:bottom w:val="single" w:sz="4" w:space="0" w:color="auto"/>
              <w:right w:val="single" w:sz="4" w:space="0" w:color="auto"/>
            </w:tcBorders>
            <w:shd w:val="clear" w:color="auto" w:fill="auto"/>
            <w:noWrap/>
            <w:vAlign w:val="bottom"/>
            <w:hideMark/>
          </w:tcPr>
          <w:p w14:paraId="48121622"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5AAC836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780AAC"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5F3E4CF6"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vznetový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741B6988"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5D2CB3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3945E8"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B3BA00F"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1950 cm3</w:t>
            </w:r>
          </w:p>
        </w:tc>
        <w:tc>
          <w:tcPr>
            <w:tcW w:w="5426" w:type="dxa"/>
            <w:tcBorders>
              <w:top w:val="nil"/>
              <w:left w:val="nil"/>
              <w:bottom w:val="single" w:sz="4" w:space="0" w:color="auto"/>
              <w:right w:val="single" w:sz="4" w:space="0" w:color="auto"/>
            </w:tcBorders>
            <w:shd w:val="clear" w:color="auto" w:fill="auto"/>
            <w:noWrap/>
            <w:vAlign w:val="bottom"/>
            <w:hideMark/>
          </w:tcPr>
          <w:p w14:paraId="197843EE"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1EC632F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C9E672"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469AA6D7"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140 kW</w:t>
            </w:r>
          </w:p>
        </w:tc>
        <w:tc>
          <w:tcPr>
            <w:tcW w:w="5426" w:type="dxa"/>
            <w:tcBorders>
              <w:top w:val="nil"/>
              <w:left w:val="nil"/>
              <w:bottom w:val="single" w:sz="4" w:space="0" w:color="auto"/>
              <w:right w:val="single" w:sz="4" w:space="0" w:color="auto"/>
            </w:tcBorders>
            <w:shd w:val="clear" w:color="auto" w:fill="auto"/>
            <w:noWrap/>
            <w:vAlign w:val="bottom"/>
            <w:hideMark/>
          </w:tcPr>
          <w:p w14:paraId="35FF50A9"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5C3C2F2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9E2A30"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32C541F7"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548061FE"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0100EDF3"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E8E75F"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Jazdné vlastnosti</w:t>
            </w:r>
          </w:p>
        </w:tc>
      </w:tr>
      <w:tr w:rsidR="00474182" w:rsidRPr="00474182" w14:paraId="6EF0F6C0"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B52CDD"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Max. rýchlosť km/h </w:t>
            </w:r>
          </w:p>
        </w:tc>
        <w:tc>
          <w:tcPr>
            <w:tcW w:w="4803" w:type="dxa"/>
            <w:tcBorders>
              <w:top w:val="nil"/>
              <w:left w:val="nil"/>
              <w:bottom w:val="single" w:sz="4" w:space="0" w:color="auto"/>
              <w:right w:val="single" w:sz="4" w:space="0" w:color="auto"/>
            </w:tcBorders>
            <w:shd w:val="clear" w:color="auto" w:fill="auto"/>
            <w:noWrap/>
            <w:vAlign w:val="center"/>
            <w:hideMark/>
          </w:tcPr>
          <w:p w14:paraId="1086ECDC"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190 km/h</w:t>
            </w:r>
          </w:p>
        </w:tc>
        <w:tc>
          <w:tcPr>
            <w:tcW w:w="5426" w:type="dxa"/>
            <w:tcBorders>
              <w:top w:val="nil"/>
              <w:left w:val="nil"/>
              <w:bottom w:val="single" w:sz="4" w:space="0" w:color="auto"/>
              <w:right w:val="single" w:sz="4" w:space="0" w:color="auto"/>
            </w:tcBorders>
            <w:shd w:val="clear" w:color="auto" w:fill="auto"/>
            <w:noWrap/>
            <w:vAlign w:val="bottom"/>
            <w:hideMark/>
          </w:tcPr>
          <w:p w14:paraId="23397958"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360AF945"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371AC6"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Pohon</w:t>
            </w:r>
          </w:p>
        </w:tc>
      </w:tr>
      <w:tr w:rsidR="00474182" w:rsidRPr="00474182" w14:paraId="00A9ACE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098FA6"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Pohon náprav</w:t>
            </w:r>
          </w:p>
        </w:tc>
        <w:tc>
          <w:tcPr>
            <w:tcW w:w="4803" w:type="dxa"/>
            <w:tcBorders>
              <w:top w:val="nil"/>
              <w:left w:val="nil"/>
              <w:bottom w:val="single" w:sz="4" w:space="0" w:color="auto"/>
              <w:right w:val="single" w:sz="4" w:space="0" w:color="auto"/>
            </w:tcBorders>
            <w:shd w:val="clear" w:color="auto" w:fill="auto"/>
            <w:noWrap/>
            <w:vAlign w:val="center"/>
            <w:hideMark/>
          </w:tcPr>
          <w:p w14:paraId="2FD8CD5D"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požaduje sa pohon všetkých štyroch kolies /4x4/</w:t>
            </w:r>
          </w:p>
        </w:tc>
        <w:tc>
          <w:tcPr>
            <w:tcW w:w="5426" w:type="dxa"/>
            <w:tcBorders>
              <w:top w:val="nil"/>
              <w:left w:val="nil"/>
              <w:bottom w:val="single" w:sz="4" w:space="0" w:color="auto"/>
              <w:right w:val="single" w:sz="4" w:space="0" w:color="auto"/>
            </w:tcBorders>
            <w:shd w:val="clear" w:color="auto" w:fill="auto"/>
            <w:noWrap/>
            <w:vAlign w:val="bottom"/>
            <w:hideMark/>
          </w:tcPr>
          <w:p w14:paraId="2B4B3E81"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2F2D4D93"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5B3C84"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Prevodovka</w:t>
            </w:r>
          </w:p>
        </w:tc>
      </w:tr>
      <w:tr w:rsidR="00474182" w:rsidRPr="00474182" w14:paraId="2A9444B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05D987" w14:textId="77777777" w:rsidR="00474182" w:rsidRPr="00474182" w:rsidRDefault="00474182" w:rsidP="00474182">
            <w:pPr>
              <w:spacing w:after="0" w:line="240" w:lineRule="auto"/>
              <w:jc w:val="both"/>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1376FF6D"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5731BFB4"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70578518"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1C0E26"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Rozmery </w:t>
            </w:r>
          </w:p>
        </w:tc>
      </w:tr>
      <w:tr w:rsidR="00474182" w:rsidRPr="00474182" w14:paraId="29EE8BB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99D9E2"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7148B027"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min. 2700 mm</w:t>
            </w:r>
          </w:p>
        </w:tc>
        <w:tc>
          <w:tcPr>
            <w:tcW w:w="5426" w:type="dxa"/>
            <w:tcBorders>
              <w:top w:val="nil"/>
              <w:left w:val="nil"/>
              <w:bottom w:val="single" w:sz="4" w:space="0" w:color="auto"/>
              <w:right w:val="single" w:sz="4" w:space="0" w:color="auto"/>
            </w:tcBorders>
            <w:shd w:val="clear" w:color="auto" w:fill="auto"/>
            <w:noWrap/>
            <w:vAlign w:val="bottom"/>
            <w:hideMark/>
          </w:tcPr>
          <w:p w14:paraId="0C9ACE71"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272FBDE2"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72839C"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Hmotnosti a objemy</w:t>
            </w:r>
          </w:p>
        </w:tc>
      </w:tr>
      <w:tr w:rsidR="00474182" w:rsidRPr="00474182" w14:paraId="4CF084E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944225"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6BBA6460"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sz w:val="20"/>
                <w:szCs w:val="20"/>
                <w:lang w:eastAsia="sk-SK"/>
              </w:rPr>
              <w:t>min. 600 L</w:t>
            </w:r>
          </w:p>
        </w:tc>
        <w:tc>
          <w:tcPr>
            <w:tcW w:w="5426" w:type="dxa"/>
            <w:tcBorders>
              <w:top w:val="nil"/>
              <w:left w:val="nil"/>
              <w:bottom w:val="single" w:sz="4" w:space="0" w:color="auto"/>
              <w:right w:val="single" w:sz="4" w:space="0" w:color="auto"/>
            </w:tcBorders>
            <w:shd w:val="clear" w:color="auto" w:fill="auto"/>
            <w:noWrap/>
            <w:vAlign w:val="bottom"/>
            <w:hideMark/>
          </w:tcPr>
          <w:p w14:paraId="68A9961B"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7F62FB0D"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27EF8E" w14:textId="77777777" w:rsidR="00474182" w:rsidRPr="00474182" w:rsidRDefault="00474182" w:rsidP="00474182">
            <w:pPr>
              <w:spacing w:after="0" w:line="240" w:lineRule="auto"/>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111DFFAB" w14:textId="77777777" w:rsidR="00474182" w:rsidRPr="00474182" w:rsidRDefault="00474182" w:rsidP="00474182">
            <w:pPr>
              <w:spacing w:after="0" w:line="240" w:lineRule="auto"/>
              <w:jc w:val="center"/>
              <w:rPr>
                <w:rFonts w:ascii="Times New Roman" w:eastAsia="Times New Roman" w:hAnsi="Times New Roman" w:cs="Times New Roman"/>
                <w:color w:val="000000"/>
                <w:sz w:val="20"/>
                <w:szCs w:val="20"/>
                <w:lang w:eastAsia="sk-SK"/>
              </w:rPr>
            </w:pPr>
            <w:r w:rsidRPr="00474182">
              <w:rPr>
                <w:rFonts w:ascii="Times New Roman" w:eastAsia="Times New Roman" w:hAnsi="Times New Roman" w:cs="Times New Roman"/>
                <w:sz w:val="20"/>
                <w:szCs w:val="20"/>
                <w:lang w:eastAsia="sk-SK"/>
              </w:rPr>
              <w:t>min. 55 L</w:t>
            </w:r>
          </w:p>
        </w:tc>
        <w:tc>
          <w:tcPr>
            <w:tcW w:w="5426" w:type="dxa"/>
            <w:tcBorders>
              <w:top w:val="nil"/>
              <w:left w:val="nil"/>
              <w:bottom w:val="single" w:sz="4" w:space="0" w:color="auto"/>
              <w:right w:val="single" w:sz="4" w:space="0" w:color="auto"/>
            </w:tcBorders>
            <w:shd w:val="clear" w:color="auto" w:fill="auto"/>
            <w:noWrap/>
            <w:vAlign w:val="bottom"/>
            <w:hideMark/>
          </w:tcPr>
          <w:p w14:paraId="46E5F7DF" w14:textId="77777777" w:rsidR="00474182" w:rsidRPr="00474182" w:rsidRDefault="00474182" w:rsidP="00474182">
            <w:pPr>
              <w:spacing w:after="0" w:line="240" w:lineRule="auto"/>
              <w:rPr>
                <w:rFonts w:ascii="Calibri" w:eastAsia="Times New Roman" w:hAnsi="Calibri" w:cs="Calibri"/>
                <w:color w:val="000000"/>
                <w:lang w:eastAsia="sk-SK"/>
              </w:rPr>
            </w:pPr>
            <w:r w:rsidRPr="00474182">
              <w:rPr>
                <w:rFonts w:ascii="Calibri" w:eastAsia="Times New Roman" w:hAnsi="Calibri" w:cs="Calibri"/>
                <w:color w:val="000000"/>
                <w:lang w:eastAsia="sk-SK"/>
              </w:rPr>
              <w:t> </w:t>
            </w:r>
          </w:p>
        </w:tc>
      </w:tr>
      <w:tr w:rsidR="00474182" w:rsidRPr="00474182" w14:paraId="057EE830"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3462826" w14:textId="77777777" w:rsidR="00474182" w:rsidRPr="00474182" w:rsidRDefault="00474182" w:rsidP="00474182">
            <w:pPr>
              <w:spacing w:after="0" w:line="240" w:lineRule="auto"/>
              <w:rPr>
                <w:rFonts w:ascii="Times New Roman" w:eastAsia="Times New Roman" w:hAnsi="Times New Roman" w:cs="Times New Roman"/>
                <w:b/>
                <w:bCs/>
                <w:color w:val="000000"/>
                <w:sz w:val="20"/>
                <w:szCs w:val="20"/>
                <w:lang w:eastAsia="sk-SK"/>
              </w:rPr>
            </w:pPr>
            <w:r w:rsidRPr="00474182">
              <w:rPr>
                <w:rFonts w:ascii="Times New Roman" w:eastAsia="Times New Roman" w:hAnsi="Times New Roman" w:cs="Times New Roman"/>
                <w:b/>
                <w:bCs/>
                <w:color w:val="000000"/>
                <w:sz w:val="20"/>
                <w:szCs w:val="20"/>
                <w:lang w:eastAsia="sk-SK"/>
              </w:rPr>
              <w:t xml:space="preserve">                                                                                                                                  Záruka</w:t>
            </w:r>
          </w:p>
        </w:tc>
      </w:tr>
      <w:tr w:rsidR="00474182" w:rsidRPr="00474182" w14:paraId="78B5A94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09E3D9F"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lastRenderedPageBreak/>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01AEE1D8"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1AD04B"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51A6726C" w14:textId="77777777" w:rsidTr="005616B2">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2B3BEA" w14:textId="77777777" w:rsidR="00474182" w:rsidRPr="00474182" w:rsidRDefault="00474182" w:rsidP="00474182">
            <w:pPr>
              <w:spacing w:after="0" w:line="240" w:lineRule="auto"/>
              <w:jc w:val="center"/>
              <w:rPr>
                <w:rFonts w:ascii="Times New Roman" w:eastAsia="Times New Roman" w:hAnsi="Times New Roman" w:cs="Times New Roman"/>
                <w:b/>
                <w:bCs/>
                <w:sz w:val="20"/>
                <w:szCs w:val="20"/>
                <w:lang w:eastAsia="sk-SK"/>
              </w:rPr>
            </w:pPr>
            <w:r w:rsidRPr="00474182">
              <w:rPr>
                <w:rFonts w:ascii="Times New Roman" w:eastAsia="Times New Roman" w:hAnsi="Times New Roman" w:cs="Times New Roman"/>
                <w:b/>
                <w:bCs/>
                <w:sz w:val="20"/>
                <w:szCs w:val="20"/>
                <w:lang w:eastAsia="sk-SK"/>
              </w:rPr>
              <w:t>Minimálne (povinne požadované) vybavenie vozidla</w:t>
            </w:r>
          </w:p>
        </w:tc>
      </w:tr>
      <w:tr w:rsidR="00474182" w:rsidRPr="00474182" w14:paraId="384FF8D5"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79808128" w14:textId="77777777" w:rsidR="00474182" w:rsidRPr="00474182" w:rsidRDefault="00474182" w:rsidP="00474182">
            <w:pPr>
              <w:spacing w:after="0" w:line="240" w:lineRule="auto"/>
              <w:rPr>
                <w:rFonts w:ascii="Times New Roman" w:eastAsia="Times New Roman" w:hAnsi="Times New Roman" w:cs="Times New Roman"/>
                <w:sz w:val="20"/>
                <w:szCs w:val="20"/>
                <w:highlight w:val="yellow"/>
                <w:lang w:eastAsia="sk-SK"/>
              </w:rPr>
            </w:pPr>
            <w:r w:rsidRPr="00474182">
              <w:rPr>
                <w:rFonts w:ascii="Times New Roman" w:eastAsia="Times New Roman" w:hAnsi="Times New Roman" w:cs="Times New Roman"/>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51E7D943"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686B163"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39CBFE5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6F09E35C" w14:textId="77777777" w:rsidR="00474182" w:rsidRPr="00474182" w:rsidRDefault="00474182" w:rsidP="00474182">
            <w:pPr>
              <w:spacing w:after="0" w:line="240" w:lineRule="auto"/>
              <w:rPr>
                <w:rFonts w:ascii="Times New Roman" w:eastAsia="Times New Roman" w:hAnsi="Times New Roman" w:cs="Times New Roman"/>
                <w:sz w:val="20"/>
                <w:szCs w:val="20"/>
                <w:highlight w:val="yellow"/>
                <w:lang w:eastAsia="sk-SK"/>
              </w:rPr>
            </w:pPr>
            <w:r w:rsidRPr="00474182">
              <w:rPr>
                <w:rFonts w:ascii="Times New Roman" w:eastAsia="Times New Roman" w:hAnsi="Times New Roman" w:cs="Times New Roman"/>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6964346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43B80E1"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008FEB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E86DAC"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2CC4502E"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244AF62"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7D8FCE5"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141FC012"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Tempomat adaptívny </w:t>
            </w:r>
          </w:p>
        </w:tc>
        <w:tc>
          <w:tcPr>
            <w:tcW w:w="4803" w:type="dxa"/>
            <w:tcBorders>
              <w:top w:val="nil"/>
              <w:left w:val="nil"/>
              <w:bottom w:val="single" w:sz="4" w:space="0" w:color="auto"/>
              <w:right w:val="single" w:sz="4" w:space="0" w:color="auto"/>
            </w:tcBorders>
            <w:shd w:val="clear" w:color="auto" w:fill="auto"/>
            <w:vAlign w:val="center"/>
          </w:tcPr>
          <w:p w14:paraId="21182F02"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D0299B"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7E0112C"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6A6AB202"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3-bodové bezpečnostné pásy na všetkých sedadlách, </w:t>
            </w:r>
          </w:p>
        </w:tc>
        <w:tc>
          <w:tcPr>
            <w:tcW w:w="4803" w:type="dxa"/>
            <w:tcBorders>
              <w:top w:val="nil"/>
              <w:left w:val="nil"/>
              <w:bottom w:val="single" w:sz="4" w:space="0" w:color="auto"/>
              <w:right w:val="single" w:sz="4" w:space="0" w:color="auto"/>
            </w:tcBorders>
            <w:shd w:val="clear" w:color="auto" w:fill="auto"/>
            <w:noWrap/>
            <w:vAlign w:val="center"/>
            <w:hideMark/>
          </w:tcPr>
          <w:p w14:paraId="1A3BE83F"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749737C"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A126737"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9FF9681"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Minimálne projektorové predné FULL LED svetlomety s automaticky riadeným svetelným kužeľom (automatická úprava dĺžky a rozloženia svetelného lúča v závislosti od situácie v premávke a vozidiel jazdiacich pred a oproti)</w:t>
            </w:r>
          </w:p>
        </w:tc>
        <w:tc>
          <w:tcPr>
            <w:tcW w:w="4803" w:type="dxa"/>
            <w:tcBorders>
              <w:top w:val="nil"/>
              <w:left w:val="nil"/>
              <w:bottom w:val="single" w:sz="4" w:space="0" w:color="auto"/>
              <w:right w:val="single" w:sz="4" w:space="0" w:color="auto"/>
            </w:tcBorders>
            <w:shd w:val="clear" w:color="auto" w:fill="auto"/>
            <w:noWrap/>
            <w:vAlign w:val="center"/>
          </w:tcPr>
          <w:p w14:paraId="3D3DC4AE"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5AF1DAF"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469F5740"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0E7C01"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Parkovacie senzory vpredu, vzadu a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09B7EFBC"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074A9B4"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0398ED5"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9E30BA3"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Systém kontroly tlaku v pneumatikách</w:t>
            </w:r>
          </w:p>
        </w:tc>
        <w:tc>
          <w:tcPr>
            <w:tcW w:w="4803" w:type="dxa"/>
            <w:tcBorders>
              <w:top w:val="nil"/>
              <w:left w:val="nil"/>
              <w:bottom w:val="single" w:sz="4" w:space="0" w:color="auto"/>
              <w:right w:val="single" w:sz="4" w:space="0" w:color="auto"/>
            </w:tcBorders>
            <w:shd w:val="clear" w:color="auto" w:fill="auto"/>
            <w:noWrap/>
            <w:hideMark/>
          </w:tcPr>
          <w:p w14:paraId="464260CE"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B888A96"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190B96FA"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296268"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DB1389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D53980"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8CC06AC" w14:textId="77777777" w:rsidTr="005616B2">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ABC67D"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14EAA92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687E90"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107EA90"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28BC58"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33CE36DD"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1B8D49"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5A7BD5DB"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BE3CE7"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4833324D"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F1D84C8"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126AEC07"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C80D4C"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24B2F52D"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0748DA7"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A21452E"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ED9067"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6C985CF"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C1F5C36"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FBDFA8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967CD13"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1E334A2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0B0F544"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4F61AF6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6412287"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Elektrické otváranie veka batožinového priestoru</w:t>
            </w:r>
          </w:p>
        </w:tc>
        <w:tc>
          <w:tcPr>
            <w:tcW w:w="4803" w:type="dxa"/>
            <w:tcBorders>
              <w:top w:val="nil"/>
              <w:left w:val="nil"/>
              <w:bottom w:val="single" w:sz="4" w:space="0" w:color="auto"/>
              <w:right w:val="single" w:sz="4" w:space="0" w:color="auto"/>
            </w:tcBorders>
            <w:shd w:val="clear" w:color="auto" w:fill="auto"/>
            <w:noWrap/>
          </w:tcPr>
          <w:p w14:paraId="0BD656D5"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8CDEF4A"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6C464A79" w14:textId="77777777" w:rsidTr="005616B2">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9364EC"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lastRenderedPageBreak/>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3E93B5C2"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B0AF6A"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7EB7A043"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A40369"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Min. dvojzónová automatická klimatizácia</w:t>
            </w:r>
          </w:p>
        </w:tc>
        <w:tc>
          <w:tcPr>
            <w:tcW w:w="4803" w:type="dxa"/>
            <w:tcBorders>
              <w:top w:val="nil"/>
              <w:left w:val="nil"/>
              <w:bottom w:val="single" w:sz="4" w:space="0" w:color="auto"/>
              <w:right w:val="single" w:sz="4" w:space="0" w:color="auto"/>
            </w:tcBorders>
            <w:shd w:val="clear" w:color="auto" w:fill="auto"/>
            <w:noWrap/>
            <w:hideMark/>
          </w:tcPr>
          <w:p w14:paraId="3223ABF0"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D87D308"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5E31FE7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8C19AE"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4AC2256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522415B"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7573149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EFC4D8F"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Bezkľúčové odomykanie vozidla  </w:t>
            </w:r>
          </w:p>
        </w:tc>
        <w:tc>
          <w:tcPr>
            <w:tcW w:w="4803" w:type="dxa"/>
            <w:tcBorders>
              <w:top w:val="nil"/>
              <w:left w:val="nil"/>
              <w:bottom w:val="single" w:sz="4" w:space="0" w:color="auto"/>
              <w:right w:val="single" w:sz="4" w:space="0" w:color="auto"/>
            </w:tcBorders>
            <w:shd w:val="clear" w:color="auto" w:fill="auto"/>
            <w:noWrap/>
          </w:tcPr>
          <w:p w14:paraId="70384C7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ADAC2E1"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615B169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E8EEEB"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35228B1B"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3F6D91"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3156046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7E5A32"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50572AF9"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186135"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0F09594A"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BF478BA"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Disky z ľahkých zliatin min. 17"</w:t>
            </w:r>
          </w:p>
        </w:tc>
        <w:tc>
          <w:tcPr>
            <w:tcW w:w="4803" w:type="dxa"/>
            <w:tcBorders>
              <w:top w:val="nil"/>
              <w:left w:val="nil"/>
              <w:bottom w:val="single" w:sz="4" w:space="0" w:color="auto"/>
              <w:right w:val="single" w:sz="4" w:space="0" w:color="auto"/>
            </w:tcBorders>
            <w:shd w:val="clear" w:color="auto" w:fill="auto"/>
            <w:noWrap/>
            <w:hideMark/>
          </w:tcPr>
          <w:p w14:paraId="7CC85B12"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D5ACA23"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212DD6AB"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B324AD" w14:textId="77777777" w:rsidR="00474182" w:rsidRPr="00474182" w:rsidRDefault="00474182" w:rsidP="00474182">
            <w:pPr>
              <w:spacing w:after="0" w:line="240" w:lineRule="auto"/>
              <w:jc w:val="both"/>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Min. dojazdové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1792F4E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BCA766B"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37141C24"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9111E5"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Vyhrievanie predných a zadných sedadiel</w:t>
            </w:r>
          </w:p>
        </w:tc>
        <w:tc>
          <w:tcPr>
            <w:tcW w:w="4803" w:type="dxa"/>
            <w:tcBorders>
              <w:top w:val="nil"/>
              <w:left w:val="nil"/>
              <w:bottom w:val="single" w:sz="4" w:space="0" w:color="auto"/>
              <w:right w:val="single" w:sz="4" w:space="0" w:color="auto"/>
            </w:tcBorders>
            <w:shd w:val="clear" w:color="auto" w:fill="auto"/>
            <w:noWrap/>
            <w:hideMark/>
          </w:tcPr>
          <w:p w14:paraId="36686BBD"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EF9FAB7"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62D00F76"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19886CDE"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Elektricky nastaviteľné sedadlo vodiča </w:t>
            </w:r>
          </w:p>
        </w:tc>
        <w:tc>
          <w:tcPr>
            <w:tcW w:w="4803" w:type="dxa"/>
            <w:tcBorders>
              <w:top w:val="nil"/>
              <w:left w:val="nil"/>
              <w:bottom w:val="single" w:sz="4" w:space="0" w:color="auto"/>
              <w:right w:val="single" w:sz="4" w:space="0" w:color="auto"/>
            </w:tcBorders>
            <w:shd w:val="clear" w:color="auto" w:fill="auto"/>
            <w:noWrap/>
          </w:tcPr>
          <w:p w14:paraId="21C547AF"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požaduje sa </w:t>
            </w:r>
          </w:p>
        </w:tc>
        <w:tc>
          <w:tcPr>
            <w:tcW w:w="5426" w:type="dxa"/>
            <w:tcBorders>
              <w:top w:val="nil"/>
              <w:left w:val="nil"/>
              <w:bottom w:val="single" w:sz="4" w:space="0" w:color="auto"/>
              <w:right w:val="single" w:sz="4" w:space="0" w:color="auto"/>
            </w:tcBorders>
            <w:shd w:val="clear" w:color="auto" w:fill="auto"/>
            <w:noWrap/>
            <w:vAlign w:val="bottom"/>
          </w:tcPr>
          <w:p w14:paraId="285BBF8B"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433707AF"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EE0525"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6048502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36ED36"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3159CA9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2EA0F6"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Rádio s min. 10" displejom a navigačným systémom,  USB vstup, funkcia zrkadlenia smartfónu Android auto aj Apple carplay, Bluetooth pripojenie telefónu, funkcia handsfree telefonovania, anténa a repro sústava pre ozvučenie vozidla, dotykový display</w:t>
            </w:r>
          </w:p>
        </w:tc>
        <w:tc>
          <w:tcPr>
            <w:tcW w:w="4803" w:type="dxa"/>
            <w:tcBorders>
              <w:top w:val="nil"/>
              <w:left w:val="nil"/>
              <w:bottom w:val="single" w:sz="4" w:space="0" w:color="auto"/>
              <w:right w:val="single" w:sz="4" w:space="0" w:color="auto"/>
            </w:tcBorders>
            <w:shd w:val="clear" w:color="auto" w:fill="auto"/>
            <w:noWrap/>
            <w:hideMark/>
          </w:tcPr>
          <w:p w14:paraId="64E1D5C8"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6D34062"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6CBAD97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CBCE3C8"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557B57F5"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7EA25D8"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53134DC1"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7365A5D"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5B35866A"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F72682D"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7E4A311C"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9AC2ED"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1A34C176"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4EE8AA7"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r w:rsidR="00474182" w:rsidRPr="00474182" w14:paraId="4F638A62"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F4AF687"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Sada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79E0A6E1"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3A6F0019" w14:textId="77777777" w:rsidR="00474182" w:rsidRPr="00474182" w:rsidRDefault="00474182" w:rsidP="00474182">
            <w:pPr>
              <w:spacing w:after="0" w:line="240" w:lineRule="auto"/>
              <w:rPr>
                <w:rFonts w:ascii="Calibri" w:eastAsia="Times New Roman" w:hAnsi="Calibri" w:cs="Calibri"/>
                <w:lang w:eastAsia="sk-SK"/>
              </w:rPr>
            </w:pPr>
          </w:p>
        </w:tc>
      </w:tr>
      <w:tr w:rsidR="00474182" w:rsidRPr="00474182" w14:paraId="30C7E5C9" w14:textId="77777777" w:rsidTr="005616B2">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C0C07F" w14:textId="77777777" w:rsidR="00474182" w:rsidRPr="00474182" w:rsidRDefault="00474182" w:rsidP="00474182">
            <w:pPr>
              <w:spacing w:after="0" w:line="240" w:lineRule="auto"/>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55A59B62" w14:textId="77777777" w:rsidR="00474182" w:rsidRPr="00474182" w:rsidRDefault="00474182" w:rsidP="00474182">
            <w:pPr>
              <w:spacing w:after="0" w:line="240" w:lineRule="auto"/>
              <w:jc w:val="center"/>
              <w:rPr>
                <w:rFonts w:ascii="Times New Roman" w:eastAsia="Times New Roman" w:hAnsi="Times New Roman" w:cs="Times New Roman"/>
                <w:sz w:val="20"/>
                <w:szCs w:val="20"/>
                <w:lang w:eastAsia="sk-SK"/>
              </w:rPr>
            </w:pPr>
            <w:r w:rsidRPr="00474182">
              <w:rPr>
                <w:rFonts w:ascii="Times New Roman" w:eastAsia="Times New Roman" w:hAnsi="Times New Roman" w:cs="Times New Roman"/>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D46D0DF" w14:textId="77777777" w:rsidR="00474182" w:rsidRPr="00474182" w:rsidRDefault="00474182" w:rsidP="00474182">
            <w:pPr>
              <w:spacing w:after="0" w:line="240" w:lineRule="auto"/>
              <w:rPr>
                <w:rFonts w:ascii="Calibri" w:eastAsia="Times New Roman" w:hAnsi="Calibri" w:cs="Calibri"/>
                <w:lang w:eastAsia="sk-SK"/>
              </w:rPr>
            </w:pPr>
            <w:r w:rsidRPr="00474182">
              <w:rPr>
                <w:rFonts w:ascii="Calibri" w:eastAsia="Times New Roman" w:hAnsi="Calibri" w:cs="Calibri"/>
                <w:lang w:eastAsia="sk-SK"/>
              </w:rPr>
              <w:t> </w:t>
            </w:r>
          </w:p>
        </w:tc>
      </w:tr>
    </w:tbl>
    <w:p w14:paraId="49F8F2D7"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0DBD88B3" w14:textId="77777777" w:rsidR="00CA0F09" w:rsidRDefault="00CA0F09" w:rsidP="00540108">
      <w:pPr>
        <w:spacing w:after="0" w:line="240" w:lineRule="auto"/>
        <w:ind w:left="284"/>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bookmarkStart w:id="3" w:name="_Hlk179892047"/>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bookmarkEnd w:id="3"/>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95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28"/>
        <w:gridCol w:w="1037"/>
        <w:gridCol w:w="905"/>
        <w:gridCol w:w="1548"/>
      </w:tblGrid>
      <w:tr w:rsidR="003F130D" w:rsidRPr="00A41626" w14:paraId="3860861E" w14:textId="77777777" w:rsidTr="00CA0F09">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BF03AE" w:rsidRPr="00B228A9" w:rsidRDefault="00BF03AE"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3D7D7711" w14:textId="291C2A48" w:rsidR="00BF03AE" w:rsidRPr="00B228A9" w:rsidRDefault="00BF03AE" w:rsidP="00475CB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BF03AE" w:rsidRPr="00B228A9" w:rsidRDefault="00BF03AE"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BF03AE" w:rsidRPr="00A41626" w14:paraId="3FCAEEC5" w14:textId="77777777" w:rsidTr="00CA0F09">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BF03AE" w:rsidRPr="00A41626" w:rsidRDefault="00BF03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BF03AE" w:rsidRPr="00A41626" w:rsidRDefault="00BF03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BF03AE" w:rsidRPr="00A41626" w:rsidRDefault="00BF03AE"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BF03AE" w:rsidRPr="00A41626" w:rsidRDefault="00BF03AE">
            <w:pPr>
              <w:tabs>
                <w:tab w:val="left" w:pos="708"/>
              </w:tabs>
              <w:autoSpaceDN w:val="0"/>
              <w:spacing w:after="0" w:line="240" w:lineRule="auto"/>
              <w:jc w:val="center"/>
              <w:rPr>
                <w:rFonts w:ascii="Times New Roman" w:hAnsi="Times New Roman" w:cs="Times New Roman"/>
                <w:noProof/>
              </w:rPr>
            </w:pPr>
          </w:p>
        </w:tc>
        <w:tc>
          <w:tcPr>
            <w:tcW w:w="1028" w:type="dxa"/>
            <w:tcBorders>
              <w:top w:val="single" w:sz="4" w:space="0" w:color="auto"/>
              <w:left w:val="single" w:sz="4" w:space="0" w:color="auto"/>
              <w:bottom w:val="single" w:sz="4" w:space="0" w:color="auto"/>
              <w:right w:val="single" w:sz="4" w:space="0" w:color="auto"/>
            </w:tcBorders>
          </w:tcPr>
          <w:p w14:paraId="69DF0B5B" w14:textId="1442ADC4" w:rsidR="00BF03AE" w:rsidRDefault="00474182">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3</w:t>
            </w:r>
            <w:r w:rsidR="00BF03AE">
              <w:rPr>
                <w:rFonts w:ascii="Times New Roman" w:hAnsi="Times New Roman" w:cs="Times New Roman"/>
                <w:noProof/>
              </w:rPr>
              <w:t xml:space="preserve"> kus</w:t>
            </w:r>
            <w:r w:rsidR="007170FC">
              <w:rPr>
                <w:rFonts w:ascii="Times New Roman" w:hAnsi="Times New Roman" w:cs="Times New Roman"/>
                <w:noProof/>
              </w:rPr>
              <w:t>y</w:t>
            </w: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BF03AE" w:rsidRDefault="00BF03AE">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BF03AE" w:rsidRDefault="00BF03AE">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BF03AE" w:rsidRDefault="00BF03AE">
            <w:pPr>
              <w:tabs>
                <w:tab w:val="left" w:pos="708"/>
              </w:tabs>
              <w:autoSpaceDN w:val="0"/>
              <w:spacing w:after="0" w:line="240" w:lineRule="auto"/>
              <w:jc w:val="center"/>
              <w:rPr>
                <w:rFonts w:ascii="Times New Roman" w:hAnsi="Times New Roman" w:cs="Times New Roman"/>
                <w:noProof/>
              </w:rPr>
            </w:pPr>
          </w:p>
        </w:tc>
      </w:tr>
      <w:tr w:rsidR="004A51AA" w:rsidRPr="00A41626" w14:paraId="1D595AFF" w14:textId="77777777" w:rsidTr="00CA0F09">
        <w:trPr>
          <w:trHeight w:val="23"/>
        </w:trPr>
        <w:tc>
          <w:tcPr>
            <w:tcW w:w="451" w:type="dxa"/>
            <w:tcBorders>
              <w:top w:val="single" w:sz="4" w:space="0" w:color="auto"/>
              <w:left w:val="single" w:sz="4" w:space="0" w:color="auto"/>
              <w:bottom w:val="single" w:sz="4" w:space="0" w:color="auto"/>
              <w:right w:val="single" w:sz="4" w:space="0" w:color="auto"/>
            </w:tcBorders>
          </w:tcPr>
          <w:p w14:paraId="4CA3FF0D" w14:textId="36B82C25"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138D8171" w14:textId="77777777"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4A7C67FE" w14:textId="5481D321" w:rsidR="004A51AA" w:rsidRDefault="004A51AA">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21AE660C"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3A8DADFB"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85844EE"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2E8F5A76" w14:textId="535C9CB5"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w:t>
      </w:r>
    </w:p>
    <w:p w14:paraId="4C8E383C" w14:textId="78B2E4F1"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 xml:space="preserve">Titul, meno, priezvisko, funkcia a podpis </w:t>
      </w:r>
    </w:p>
    <w:p w14:paraId="071027B3" w14:textId="2A6CF0CA" w:rsidR="00CA0F09" w:rsidRPr="00CA0F09"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štatutárneho zástupcu uchádzača/</w:t>
      </w:r>
    </w:p>
    <w:p w14:paraId="5ADB3542" w14:textId="148BB567" w:rsidR="00C56946" w:rsidRDefault="00CA0F09" w:rsidP="00CA0F09">
      <w:pPr>
        <w:tabs>
          <w:tab w:val="left" w:pos="708"/>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A0F09">
        <w:rPr>
          <w:rFonts w:ascii="Times New Roman" w:hAnsi="Times New Roman" w:cs="Times New Roman"/>
        </w:rPr>
        <w:t>osoby oprávnenej konať za uchádzača</w:t>
      </w: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Default="00DE392E" w:rsidP="00EF047E">
      <w:pPr>
        <w:tabs>
          <w:tab w:val="left" w:pos="708"/>
        </w:tabs>
        <w:spacing w:after="0" w:line="240" w:lineRule="auto"/>
        <w:jc w:val="both"/>
        <w:rPr>
          <w:rFonts w:ascii="Times New Roman" w:hAnsi="Times New Roman" w:cs="Times New Roman"/>
          <w:b/>
          <w:bCs/>
        </w:rPr>
      </w:pPr>
    </w:p>
    <w:p w14:paraId="63A6CE7C" w14:textId="77777777" w:rsidR="00CA0F09" w:rsidRDefault="00CA0F09" w:rsidP="00EF047E">
      <w:pPr>
        <w:tabs>
          <w:tab w:val="left" w:pos="708"/>
        </w:tabs>
        <w:spacing w:after="0" w:line="240" w:lineRule="auto"/>
        <w:jc w:val="both"/>
        <w:rPr>
          <w:rFonts w:ascii="Times New Roman" w:hAnsi="Times New Roman" w:cs="Times New Roman"/>
          <w:b/>
          <w:bCs/>
        </w:rPr>
      </w:pPr>
    </w:p>
    <w:p w14:paraId="698AF74A" w14:textId="7226D92A"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w:t>
      </w:r>
    </w:p>
    <w:p w14:paraId="133DB637" w14:textId="51D6F097"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 xml:space="preserve">Titul, meno, priezvisko, funkcia a podpis </w:t>
      </w:r>
    </w:p>
    <w:p w14:paraId="418417C6" w14:textId="0C57E3D9" w:rsidR="00CA0F09" w:rsidRPr="00CA0F09"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štatutárneho zástupcu uchádzača/</w:t>
      </w:r>
    </w:p>
    <w:p w14:paraId="51418D43" w14:textId="3C127D1D" w:rsidR="00CA0F09" w:rsidRPr="00A41626" w:rsidRDefault="00CA0F09" w:rsidP="00CA0F09">
      <w:pPr>
        <w:tabs>
          <w:tab w:val="left" w:pos="708"/>
        </w:tabs>
        <w:spacing w:after="0" w:line="240" w:lineRule="auto"/>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CA0F09">
        <w:rPr>
          <w:rFonts w:ascii="Times New Roman" w:hAnsi="Times New Roman" w:cs="Times New Roman"/>
          <w:b/>
          <w:bCs/>
        </w:rPr>
        <w:t>osoby oprávnenej konať za uchádzača</w:t>
      </w:r>
    </w:p>
    <w:sectPr w:rsidR="00CA0F09"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6E5D4" w14:textId="77777777" w:rsidR="00D263E1" w:rsidRDefault="00D263E1" w:rsidP="006F561A">
      <w:pPr>
        <w:spacing w:after="0" w:line="240" w:lineRule="auto"/>
      </w:pPr>
      <w:r>
        <w:separator/>
      </w:r>
    </w:p>
  </w:endnote>
  <w:endnote w:type="continuationSeparator" w:id="0">
    <w:p w14:paraId="22658540" w14:textId="77777777" w:rsidR="00D263E1" w:rsidRDefault="00D263E1"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7B9E4" w14:textId="77777777" w:rsidR="00D263E1" w:rsidRDefault="00D263E1" w:rsidP="006F561A">
      <w:pPr>
        <w:spacing w:after="0" w:line="240" w:lineRule="auto"/>
      </w:pPr>
      <w:r>
        <w:separator/>
      </w:r>
    </w:p>
  </w:footnote>
  <w:footnote w:type="continuationSeparator" w:id="0">
    <w:p w14:paraId="243100B9" w14:textId="77777777" w:rsidR="00D263E1" w:rsidRDefault="00D263E1"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DB6817" w:rsidRPr="00D97C89" w:rsidRDefault="00DB6817"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DB6817" w:rsidRPr="00D64E3C" w:rsidRDefault="00DB6817"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DB6817" w:rsidRPr="00D64E3C" w:rsidRDefault="00DB6817"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DB6817" w:rsidRPr="00AE53D0" w:rsidRDefault="00DB6817"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7048670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75921">
    <w:abstractNumId w:val="22"/>
  </w:num>
  <w:num w:numId="3" w16cid:durableId="811288085">
    <w:abstractNumId w:val="21"/>
  </w:num>
  <w:num w:numId="4" w16cid:durableId="1253051234">
    <w:abstractNumId w:val="19"/>
  </w:num>
  <w:num w:numId="5" w16cid:durableId="1793132755">
    <w:abstractNumId w:val="23"/>
  </w:num>
  <w:num w:numId="6" w16cid:durableId="16829748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135035">
    <w:abstractNumId w:val="14"/>
  </w:num>
  <w:num w:numId="8" w16cid:durableId="936864150">
    <w:abstractNumId w:val="27"/>
  </w:num>
  <w:num w:numId="9" w16cid:durableId="1525629569">
    <w:abstractNumId w:val="15"/>
  </w:num>
  <w:num w:numId="10" w16cid:durableId="1552185650">
    <w:abstractNumId w:val="8"/>
  </w:num>
  <w:num w:numId="11" w16cid:durableId="1594586329">
    <w:abstractNumId w:val="28"/>
  </w:num>
  <w:num w:numId="12" w16cid:durableId="1224373533">
    <w:abstractNumId w:val="3"/>
  </w:num>
  <w:num w:numId="13" w16cid:durableId="1763990630">
    <w:abstractNumId w:val="20"/>
  </w:num>
  <w:num w:numId="14" w16cid:durableId="1411850467">
    <w:abstractNumId w:val="11"/>
  </w:num>
  <w:num w:numId="15" w16cid:durableId="1756705829">
    <w:abstractNumId w:val="26"/>
  </w:num>
  <w:num w:numId="16" w16cid:durableId="601375202">
    <w:abstractNumId w:val="18"/>
  </w:num>
  <w:num w:numId="17" w16cid:durableId="320427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956812">
    <w:abstractNumId w:val="16"/>
  </w:num>
  <w:num w:numId="19" w16cid:durableId="1849636909">
    <w:abstractNumId w:val="12"/>
  </w:num>
  <w:num w:numId="20" w16cid:durableId="485435685">
    <w:abstractNumId w:val="13"/>
  </w:num>
  <w:num w:numId="21" w16cid:durableId="2051805704">
    <w:abstractNumId w:val="9"/>
  </w:num>
  <w:num w:numId="22" w16cid:durableId="1126897975">
    <w:abstractNumId w:val="24"/>
  </w:num>
  <w:num w:numId="23" w16cid:durableId="1765108116">
    <w:abstractNumId w:val="17"/>
  </w:num>
  <w:num w:numId="24" w16cid:durableId="240141407">
    <w:abstractNumId w:val="7"/>
  </w:num>
  <w:num w:numId="25" w16cid:durableId="1628505327">
    <w:abstractNumId w:val="4"/>
  </w:num>
  <w:num w:numId="26" w16cid:durableId="1319532817">
    <w:abstractNumId w:val="1"/>
  </w:num>
  <w:num w:numId="27" w16cid:durableId="1426730120">
    <w:abstractNumId w:val="2"/>
  </w:num>
  <w:num w:numId="28" w16cid:durableId="2085488633">
    <w:abstractNumId w:val="10"/>
  </w:num>
  <w:num w:numId="29" w16cid:durableId="174556521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6C53"/>
    <w:rsid w:val="00047E5F"/>
    <w:rsid w:val="00053A42"/>
    <w:rsid w:val="00062312"/>
    <w:rsid w:val="0006375D"/>
    <w:rsid w:val="000643D2"/>
    <w:rsid w:val="00064D57"/>
    <w:rsid w:val="0006698F"/>
    <w:rsid w:val="00072DBB"/>
    <w:rsid w:val="0008642D"/>
    <w:rsid w:val="0009022A"/>
    <w:rsid w:val="000938A7"/>
    <w:rsid w:val="000A33E6"/>
    <w:rsid w:val="000A7970"/>
    <w:rsid w:val="000B29FB"/>
    <w:rsid w:val="000B5FBF"/>
    <w:rsid w:val="000D7EBD"/>
    <w:rsid w:val="000E1D57"/>
    <w:rsid w:val="000E778C"/>
    <w:rsid w:val="000F0BB3"/>
    <w:rsid w:val="000F6087"/>
    <w:rsid w:val="00103AB0"/>
    <w:rsid w:val="0010517E"/>
    <w:rsid w:val="001124B1"/>
    <w:rsid w:val="0013782A"/>
    <w:rsid w:val="00141F6D"/>
    <w:rsid w:val="00143553"/>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3A15"/>
    <w:rsid w:val="00205B38"/>
    <w:rsid w:val="00210D0B"/>
    <w:rsid w:val="00214ECD"/>
    <w:rsid w:val="00223AE3"/>
    <w:rsid w:val="00227099"/>
    <w:rsid w:val="0023285A"/>
    <w:rsid w:val="00233B4E"/>
    <w:rsid w:val="002354C7"/>
    <w:rsid w:val="002545C4"/>
    <w:rsid w:val="00255F62"/>
    <w:rsid w:val="00257881"/>
    <w:rsid w:val="0027019E"/>
    <w:rsid w:val="00275201"/>
    <w:rsid w:val="00290A53"/>
    <w:rsid w:val="002921A2"/>
    <w:rsid w:val="0029656A"/>
    <w:rsid w:val="00296D2E"/>
    <w:rsid w:val="002B422C"/>
    <w:rsid w:val="002D1B28"/>
    <w:rsid w:val="002D1C37"/>
    <w:rsid w:val="002E2FE3"/>
    <w:rsid w:val="002E5FA2"/>
    <w:rsid w:val="002F0050"/>
    <w:rsid w:val="00304560"/>
    <w:rsid w:val="00305502"/>
    <w:rsid w:val="00307033"/>
    <w:rsid w:val="00307FEE"/>
    <w:rsid w:val="00310891"/>
    <w:rsid w:val="00313322"/>
    <w:rsid w:val="003167D7"/>
    <w:rsid w:val="00325208"/>
    <w:rsid w:val="00325D05"/>
    <w:rsid w:val="003269AC"/>
    <w:rsid w:val="0033008E"/>
    <w:rsid w:val="00334F5A"/>
    <w:rsid w:val="003439D3"/>
    <w:rsid w:val="00356EC5"/>
    <w:rsid w:val="003614E3"/>
    <w:rsid w:val="00362B15"/>
    <w:rsid w:val="00373703"/>
    <w:rsid w:val="00380C1E"/>
    <w:rsid w:val="0038300A"/>
    <w:rsid w:val="00393E2E"/>
    <w:rsid w:val="00397BC0"/>
    <w:rsid w:val="00397F54"/>
    <w:rsid w:val="003A0C55"/>
    <w:rsid w:val="003A1A61"/>
    <w:rsid w:val="003A4D2E"/>
    <w:rsid w:val="003A5751"/>
    <w:rsid w:val="003B3B3D"/>
    <w:rsid w:val="003C2772"/>
    <w:rsid w:val="003C44D9"/>
    <w:rsid w:val="003C5F1B"/>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1BFD"/>
    <w:rsid w:val="00434662"/>
    <w:rsid w:val="00436C5F"/>
    <w:rsid w:val="004454F7"/>
    <w:rsid w:val="004503C2"/>
    <w:rsid w:val="004555AD"/>
    <w:rsid w:val="0045568B"/>
    <w:rsid w:val="00457C0D"/>
    <w:rsid w:val="0046243D"/>
    <w:rsid w:val="004644DB"/>
    <w:rsid w:val="004666E6"/>
    <w:rsid w:val="00474182"/>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61A5"/>
    <w:rsid w:val="005028F6"/>
    <w:rsid w:val="00505293"/>
    <w:rsid w:val="0050620E"/>
    <w:rsid w:val="00521317"/>
    <w:rsid w:val="00523264"/>
    <w:rsid w:val="005370E2"/>
    <w:rsid w:val="00540108"/>
    <w:rsid w:val="00541D60"/>
    <w:rsid w:val="00543E8E"/>
    <w:rsid w:val="00544F9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372C8"/>
    <w:rsid w:val="0064228C"/>
    <w:rsid w:val="00643E0B"/>
    <w:rsid w:val="0065496A"/>
    <w:rsid w:val="00657C4E"/>
    <w:rsid w:val="00663956"/>
    <w:rsid w:val="006648EC"/>
    <w:rsid w:val="00664C82"/>
    <w:rsid w:val="00665F6F"/>
    <w:rsid w:val="006874F9"/>
    <w:rsid w:val="00692C66"/>
    <w:rsid w:val="0069417B"/>
    <w:rsid w:val="00695DA9"/>
    <w:rsid w:val="006A369E"/>
    <w:rsid w:val="006A3E49"/>
    <w:rsid w:val="006B00B5"/>
    <w:rsid w:val="006B19D7"/>
    <w:rsid w:val="006C0A4F"/>
    <w:rsid w:val="006D447B"/>
    <w:rsid w:val="006D4A3E"/>
    <w:rsid w:val="006D4DC2"/>
    <w:rsid w:val="006E698C"/>
    <w:rsid w:val="006F045B"/>
    <w:rsid w:val="006F049F"/>
    <w:rsid w:val="006F21FB"/>
    <w:rsid w:val="006F253F"/>
    <w:rsid w:val="006F561A"/>
    <w:rsid w:val="007010D0"/>
    <w:rsid w:val="00704479"/>
    <w:rsid w:val="00707AED"/>
    <w:rsid w:val="007170FC"/>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36D1"/>
    <w:rsid w:val="00784CA4"/>
    <w:rsid w:val="00792467"/>
    <w:rsid w:val="007A3BD2"/>
    <w:rsid w:val="007B0251"/>
    <w:rsid w:val="007B1222"/>
    <w:rsid w:val="007B3020"/>
    <w:rsid w:val="007B4CCA"/>
    <w:rsid w:val="007D34E6"/>
    <w:rsid w:val="007E0343"/>
    <w:rsid w:val="007F1F61"/>
    <w:rsid w:val="00802C36"/>
    <w:rsid w:val="00803F63"/>
    <w:rsid w:val="0080422B"/>
    <w:rsid w:val="00805BEF"/>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1BE1"/>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5E5B"/>
    <w:rsid w:val="009B7B78"/>
    <w:rsid w:val="009C02F8"/>
    <w:rsid w:val="009C1D5D"/>
    <w:rsid w:val="009C20FF"/>
    <w:rsid w:val="009D18BF"/>
    <w:rsid w:val="009E394C"/>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2E"/>
    <w:rsid w:val="00A409CA"/>
    <w:rsid w:val="00A40D38"/>
    <w:rsid w:val="00A41626"/>
    <w:rsid w:val="00A41DFB"/>
    <w:rsid w:val="00A437ED"/>
    <w:rsid w:val="00A44B53"/>
    <w:rsid w:val="00A54B4D"/>
    <w:rsid w:val="00A73C7E"/>
    <w:rsid w:val="00A75294"/>
    <w:rsid w:val="00A81FB3"/>
    <w:rsid w:val="00A870D7"/>
    <w:rsid w:val="00A91A8A"/>
    <w:rsid w:val="00A949A9"/>
    <w:rsid w:val="00AA7B30"/>
    <w:rsid w:val="00AB06F2"/>
    <w:rsid w:val="00AB0829"/>
    <w:rsid w:val="00AB0969"/>
    <w:rsid w:val="00AB2E1C"/>
    <w:rsid w:val="00AB5BA0"/>
    <w:rsid w:val="00AB7237"/>
    <w:rsid w:val="00AC160F"/>
    <w:rsid w:val="00AC2C31"/>
    <w:rsid w:val="00AD2DCA"/>
    <w:rsid w:val="00AD3EE3"/>
    <w:rsid w:val="00AE4049"/>
    <w:rsid w:val="00AE4680"/>
    <w:rsid w:val="00AE53D0"/>
    <w:rsid w:val="00AE6968"/>
    <w:rsid w:val="00AF4EDC"/>
    <w:rsid w:val="00B133B8"/>
    <w:rsid w:val="00B153B8"/>
    <w:rsid w:val="00B2109C"/>
    <w:rsid w:val="00B25165"/>
    <w:rsid w:val="00B330C4"/>
    <w:rsid w:val="00B415C9"/>
    <w:rsid w:val="00B640A6"/>
    <w:rsid w:val="00B764A1"/>
    <w:rsid w:val="00B77729"/>
    <w:rsid w:val="00B833B1"/>
    <w:rsid w:val="00B83654"/>
    <w:rsid w:val="00B869A9"/>
    <w:rsid w:val="00B95096"/>
    <w:rsid w:val="00B95EB9"/>
    <w:rsid w:val="00BB175C"/>
    <w:rsid w:val="00BB40AC"/>
    <w:rsid w:val="00BB6C71"/>
    <w:rsid w:val="00BC3FB7"/>
    <w:rsid w:val="00BC4C2B"/>
    <w:rsid w:val="00BC4FE4"/>
    <w:rsid w:val="00BD5BD1"/>
    <w:rsid w:val="00BD78DB"/>
    <w:rsid w:val="00BE4405"/>
    <w:rsid w:val="00BF03AE"/>
    <w:rsid w:val="00C039E4"/>
    <w:rsid w:val="00C06F33"/>
    <w:rsid w:val="00C12E2F"/>
    <w:rsid w:val="00C12F60"/>
    <w:rsid w:val="00C21066"/>
    <w:rsid w:val="00C25144"/>
    <w:rsid w:val="00C278F0"/>
    <w:rsid w:val="00C27E4D"/>
    <w:rsid w:val="00C31B6B"/>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A0F09"/>
    <w:rsid w:val="00CA15A1"/>
    <w:rsid w:val="00CA2EB4"/>
    <w:rsid w:val="00CC130C"/>
    <w:rsid w:val="00CD12F6"/>
    <w:rsid w:val="00CD2308"/>
    <w:rsid w:val="00CD34A7"/>
    <w:rsid w:val="00CF3767"/>
    <w:rsid w:val="00CF4215"/>
    <w:rsid w:val="00CF5A4C"/>
    <w:rsid w:val="00CF693B"/>
    <w:rsid w:val="00D0703D"/>
    <w:rsid w:val="00D07FEB"/>
    <w:rsid w:val="00D156EE"/>
    <w:rsid w:val="00D164D1"/>
    <w:rsid w:val="00D16D13"/>
    <w:rsid w:val="00D22904"/>
    <w:rsid w:val="00D263E1"/>
    <w:rsid w:val="00D43EE1"/>
    <w:rsid w:val="00D461D6"/>
    <w:rsid w:val="00D4783D"/>
    <w:rsid w:val="00D601E5"/>
    <w:rsid w:val="00D60BD4"/>
    <w:rsid w:val="00D649A2"/>
    <w:rsid w:val="00D64E3C"/>
    <w:rsid w:val="00D70AFE"/>
    <w:rsid w:val="00D7233D"/>
    <w:rsid w:val="00D737DE"/>
    <w:rsid w:val="00D74970"/>
    <w:rsid w:val="00D84A04"/>
    <w:rsid w:val="00D85D64"/>
    <w:rsid w:val="00D90AB0"/>
    <w:rsid w:val="00D91D2C"/>
    <w:rsid w:val="00DA3206"/>
    <w:rsid w:val="00DB1CBC"/>
    <w:rsid w:val="00DB6817"/>
    <w:rsid w:val="00DC6E01"/>
    <w:rsid w:val="00DC7670"/>
    <w:rsid w:val="00DE089A"/>
    <w:rsid w:val="00DE392E"/>
    <w:rsid w:val="00DF608A"/>
    <w:rsid w:val="00E05A48"/>
    <w:rsid w:val="00E1014C"/>
    <w:rsid w:val="00E20CF2"/>
    <w:rsid w:val="00E23A1C"/>
    <w:rsid w:val="00E23FA7"/>
    <w:rsid w:val="00E241EF"/>
    <w:rsid w:val="00E27757"/>
    <w:rsid w:val="00E54798"/>
    <w:rsid w:val="00E663C5"/>
    <w:rsid w:val="00E66548"/>
    <w:rsid w:val="00E71E86"/>
    <w:rsid w:val="00E72E63"/>
    <w:rsid w:val="00E743B5"/>
    <w:rsid w:val="00E75B60"/>
    <w:rsid w:val="00E80B1D"/>
    <w:rsid w:val="00E81D78"/>
    <w:rsid w:val="00E90965"/>
    <w:rsid w:val="00E91F63"/>
    <w:rsid w:val="00E928B0"/>
    <w:rsid w:val="00E96A10"/>
    <w:rsid w:val="00EA036D"/>
    <w:rsid w:val="00EA0ABA"/>
    <w:rsid w:val="00EA281D"/>
    <w:rsid w:val="00EA418D"/>
    <w:rsid w:val="00EA596A"/>
    <w:rsid w:val="00EA67E1"/>
    <w:rsid w:val="00EB0773"/>
    <w:rsid w:val="00EB5061"/>
    <w:rsid w:val="00EC01D0"/>
    <w:rsid w:val="00EE2877"/>
    <w:rsid w:val="00EE35EA"/>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0AF4"/>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customStyle="1" w:styleId="Nevyrieenzmienka7">
    <w:name w:val="Nevyriešená zmienka7"/>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C989B-A978-43D8-AF55-532BE5387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6985</Words>
  <Characters>39820</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3</cp:revision>
  <cp:lastPrinted>2024-10-21T09:23:00Z</cp:lastPrinted>
  <dcterms:created xsi:type="dcterms:W3CDTF">2024-11-04T08:47:00Z</dcterms:created>
  <dcterms:modified xsi:type="dcterms:W3CDTF">2024-11-05T12:29:00Z</dcterms:modified>
</cp:coreProperties>
</file>